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D0D4E" w14:textId="4473CBFC" w:rsidR="002A340A" w:rsidRPr="00163A52" w:rsidRDefault="00163A52" w:rsidP="00163A52">
      <w:pPr>
        <w:jc w:val="center"/>
        <w:rPr>
          <w:b/>
          <w:sz w:val="36"/>
        </w:rPr>
      </w:pPr>
      <w:r w:rsidRPr="00163A52">
        <w:rPr>
          <w:b/>
          <w:sz w:val="36"/>
        </w:rPr>
        <w:t>Supplementary information - Contents</w:t>
      </w:r>
    </w:p>
    <w:p w14:paraId="58C2E0A9" w14:textId="77777777" w:rsidR="00945DCA" w:rsidRDefault="00945DCA" w:rsidP="00945DCA"/>
    <w:p w14:paraId="29654B27" w14:textId="77777777" w:rsidR="00163A52" w:rsidRDefault="00163A52" w:rsidP="00945DCA"/>
    <w:p w14:paraId="2E00F162" w14:textId="77777777" w:rsidR="00163A52" w:rsidRPr="00945DCA" w:rsidRDefault="00163A52" w:rsidP="00945DCA"/>
    <w:p w14:paraId="4258BEBE" w14:textId="77777777" w:rsidR="0070162E" w:rsidRDefault="00163A52">
      <w:pPr>
        <w:pStyle w:val="TOC1"/>
        <w:tabs>
          <w:tab w:val="right" w:leader="dot" w:pos="9628"/>
        </w:tabs>
        <w:rPr>
          <w:rFonts w:eastAsiaTheme="minorEastAsia" w:cstheme="minorBidi"/>
          <w:b w:val="0"/>
          <w:caps w:val="0"/>
          <w:noProof/>
          <w:sz w:val="24"/>
          <w:szCs w:val="24"/>
          <w:lang w:eastAsia="ja-JP"/>
        </w:rPr>
      </w:pPr>
      <w:r>
        <w:rPr>
          <w:rFonts w:ascii="Times New Roman" w:hAnsi="Times New Roman"/>
          <w:b w:val="0"/>
          <w:bCs/>
          <w:caps w:val="0"/>
          <w:color w:val="548DD4"/>
          <w:sz w:val="20"/>
          <w:szCs w:val="20"/>
        </w:rPr>
        <w:fldChar w:fldCharType="begin"/>
      </w:r>
      <w:r>
        <w:rPr>
          <w:rFonts w:ascii="Times New Roman" w:hAnsi="Times New Roman"/>
          <w:b w:val="0"/>
          <w:bCs/>
          <w:caps w:val="0"/>
          <w:color w:val="548DD4"/>
          <w:sz w:val="20"/>
          <w:szCs w:val="20"/>
        </w:rPr>
        <w:instrText xml:space="preserve"> TOC \o "1-3" </w:instrText>
      </w:r>
      <w:r>
        <w:rPr>
          <w:rFonts w:ascii="Times New Roman" w:hAnsi="Times New Roman"/>
          <w:b w:val="0"/>
          <w:bCs/>
          <w:caps w:val="0"/>
          <w:color w:val="548DD4"/>
          <w:sz w:val="20"/>
          <w:szCs w:val="20"/>
        </w:rPr>
        <w:fldChar w:fldCharType="separate"/>
      </w:r>
      <w:r w:rsidR="0070162E">
        <w:rPr>
          <w:noProof/>
        </w:rPr>
        <w:t>eMethods</w:t>
      </w:r>
      <w:r w:rsidR="0070162E">
        <w:rPr>
          <w:noProof/>
        </w:rPr>
        <w:tab/>
      </w:r>
      <w:r w:rsidR="0070162E">
        <w:rPr>
          <w:noProof/>
        </w:rPr>
        <w:fldChar w:fldCharType="begin"/>
      </w:r>
      <w:r w:rsidR="0070162E">
        <w:rPr>
          <w:noProof/>
        </w:rPr>
        <w:instrText xml:space="preserve"> PAGEREF _Toc368419624 \h </w:instrText>
      </w:r>
      <w:r w:rsidR="0070162E">
        <w:rPr>
          <w:noProof/>
        </w:rPr>
      </w:r>
      <w:r w:rsidR="0070162E">
        <w:rPr>
          <w:noProof/>
        </w:rPr>
        <w:fldChar w:fldCharType="separate"/>
      </w:r>
      <w:r w:rsidR="0070162E">
        <w:rPr>
          <w:noProof/>
        </w:rPr>
        <w:t>2</w:t>
      </w:r>
      <w:r w:rsidR="0070162E">
        <w:rPr>
          <w:noProof/>
        </w:rPr>
        <w:fldChar w:fldCharType="end"/>
      </w:r>
    </w:p>
    <w:p w14:paraId="619A53C4" w14:textId="77777777" w:rsidR="0070162E" w:rsidRDefault="0070162E">
      <w:pPr>
        <w:pStyle w:val="TOC2"/>
        <w:tabs>
          <w:tab w:val="right" w:leader="dot" w:pos="9628"/>
        </w:tabs>
        <w:rPr>
          <w:rFonts w:eastAsiaTheme="minorEastAsia" w:cstheme="minorBidi"/>
          <w:smallCaps w:val="0"/>
          <w:noProof/>
          <w:sz w:val="24"/>
          <w:szCs w:val="24"/>
          <w:lang w:eastAsia="ja-JP"/>
        </w:rPr>
      </w:pPr>
      <w:r>
        <w:rPr>
          <w:noProof/>
        </w:rPr>
        <w:t>In silico protein structure analysis</w:t>
      </w:r>
      <w:r>
        <w:rPr>
          <w:noProof/>
        </w:rPr>
        <w:tab/>
      </w:r>
      <w:r>
        <w:rPr>
          <w:noProof/>
        </w:rPr>
        <w:fldChar w:fldCharType="begin"/>
      </w:r>
      <w:r>
        <w:rPr>
          <w:noProof/>
        </w:rPr>
        <w:instrText xml:space="preserve"> PAGEREF _Toc368419625 \h </w:instrText>
      </w:r>
      <w:r>
        <w:rPr>
          <w:noProof/>
        </w:rPr>
      </w:r>
      <w:r>
        <w:rPr>
          <w:noProof/>
        </w:rPr>
        <w:fldChar w:fldCharType="separate"/>
      </w:r>
      <w:r>
        <w:rPr>
          <w:noProof/>
        </w:rPr>
        <w:t>2</w:t>
      </w:r>
      <w:r>
        <w:rPr>
          <w:noProof/>
        </w:rPr>
        <w:fldChar w:fldCharType="end"/>
      </w:r>
    </w:p>
    <w:p w14:paraId="788C70BF" w14:textId="77777777" w:rsidR="0070162E" w:rsidRDefault="0070162E">
      <w:pPr>
        <w:pStyle w:val="TOC2"/>
        <w:tabs>
          <w:tab w:val="right" w:leader="dot" w:pos="9628"/>
        </w:tabs>
        <w:rPr>
          <w:rFonts w:eastAsiaTheme="minorEastAsia" w:cstheme="minorBidi"/>
          <w:smallCaps w:val="0"/>
          <w:noProof/>
          <w:sz w:val="24"/>
          <w:szCs w:val="24"/>
          <w:lang w:eastAsia="ja-JP"/>
        </w:rPr>
      </w:pPr>
      <w:r>
        <w:rPr>
          <w:noProof/>
        </w:rPr>
        <w:t>Retrospective cohort analysis statistical methods</w:t>
      </w:r>
      <w:r>
        <w:rPr>
          <w:noProof/>
        </w:rPr>
        <w:tab/>
      </w:r>
      <w:r>
        <w:rPr>
          <w:noProof/>
        </w:rPr>
        <w:fldChar w:fldCharType="begin"/>
      </w:r>
      <w:r>
        <w:rPr>
          <w:noProof/>
        </w:rPr>
        <w:instrText xml:space="preserve"> PAGEREF _Toc368419626 \h </w:instrText>
      </w:r>
      <w:r>
        <w:rPr>
          <w:noProof/>
        </w:rPr>
      </w:r>
      <w:r>
        <w:rPr>
          <w:noProof/>
        </w:rPr>
        <w:fldChar w:fldCharType="separate"/>
      </w:r>
      <w:r>
        <w:rPr>
          <w:noProof/>
        </w:rPr>
        <w:t>2</w:t>
      </w:r>
      <w:r>
        <w:rPr>
          <w:noProof/>
        </w:rPr>
        <w:fldChar w:fldCharType="end"/>
      </w:r>
    </w:p>
    <w:p w14:paraId="3ECE5AD4" w14:textId="63DC37EE" w:rsidR="0070162E" w:rsidRDefault="0070162E">
      <w:pPr>
        <w:pStyle w:val="TOC1"/>
        <w:tabs>
          <w:tab w:val="right" w:leader="dot" w:pos="9628"/>
        </w:tabs>
        <w:rPr>
          <w:rFonts w:eastAsiaTheme="minorEastAsia" w:cstheme="minorBidi"/>
          <w:b w:val="0"/>
          <w:caps w:val="0"/>
          <w:noProof/>
          <w:sz w:val="24"/>
          <w:szCs w:val="24"/>
          <w:lang w:eastAsia="ja-JP"/>
        </w:rPr>
      </w:pPr>
      <w:r>
        <w:rPr>
          <w:noProof/>
        </w:rPr>
        <w:t>eFigures</w:t>
      </w:r>
      <w:r>
        <w:rPr>
          <w:noProof/>
        </w:rPr>
        <w:tab/>
      </w:r>
      <w:r w:rsidR="002A33E8">
        <w:rPr>
          <w:noProof/>
        </w:rPr>
        <w:t>4</w:t>
      </w:r>
    </w:p>
    <w:p w14:paraId="0D7F5235" w14:textId="125AA2BF" w:rsidR="0070162E" w:rsidRDefault="0070162E">
      <w:pPr>
        <w:pStyle w:val="TOC1"/>
        <w:tabs>
          <w:tab w:val="right" w:leader="dot" w:pos="9628"/>
        </w:tabs>
        <w:rPr>
          <w:rFonts w:eastAsiaTheme="minorEastAsia" w:cstheme="minorBidi"/>
          <w:b w:val="0"/>
          <w:caps w:val="0"/>
          <w:noProof/>
          <w:sz w:val="24"/>
          <w:szCs w:val="24"/>
          <w:lang w:eastAsia="ja-JP"/>
        </w:rPr>
      </w:pPr>
      <w:r>
        <w:rPr>
          <w:noProof/>
        </w:rPr>
        <w:t>References</w:t>
      </w:r>
      <w:r>
        <w:rPr>
          <w:noProof/>
        </w:rPr>
        <w:tab/>
      </w:r>
      <w:r w:rsidR="002A33E8">
        <w:rPr>
          <w:noProof/>
        </w:rPr>
        <w:t>14</w:t>
      </w:r>
    </w:p>
    <w:p w14:paraId="150E0B35" w14:textId="5FE7BB5F" w:rsidR="00DA40B4" w:rsidRPr="00163A52" w:rsidRDefault="00163A52" w:rsidP="00331061">
      <w:pPr>
        <w:pStyle w:val="Heading1"/>
        <w:spacing w:line="360" w:lineRule="auto"/>
      </w:pPr>
      <w:r>
        <w:rPr>
          <w:rFonts w:ascii="Times New Roman" w:eastAsia="Times New Roman" w:hAnsi="Times New Roman" w:cs="Times New Roman"/>
          <w:b w:val="0"/>
          <w:bCs w:val="0"/>
          <w:caps/>
          <w:color w:val="548DD4"/>
          <w:kern w:val="0"/>
          <w:sz w:val="20"/>
          <w:szCs w:val="20"/>
        </w:rPr>
        <w:fldChar w:fldCharType="end"/>
      </w:r>
      <w:bookmarkStart w:id="0" w:name="_GoBack"/>
      <w:bookmarkEnd w:id="0"/>
      <w:r w:rsidR="002A340A" w:rsidRPr="00BA6D45">
        <w:rPr>
          <w:rFonts w:ascii="Times New Roman" w:hAnsi="Times New Roman" w:cs="Times New Roman"/>
          <w:sz w:val="20"/>
          <w:szCs w:val="20"/>
        </w:rPr>
        <w:br w:type="page"/>
      </w:r>
      <w:bookmarkStart w:id="1" w:name="_Toc368419624"/>
      <w:proofErr w:type="spellStart"/>
      <w:r w:rsidR="002A340A" w:rsidRPr="00163A52">
        <w:lastRenderedPageBreak/>
        <w:t>eM</w:t>
      </w:r>
      <w:r w:rsidR="004B393C" w:rsidRPr="00163A52">
        <w:t>ethods</w:t>
      </w:r>
      <w:bookmarkEnd w:id="1"/>
      <w:proofErr w:type="spellEnd"/>
    </w:p>
    <w:p w14:paraId="1430F898" w14:textId="03622EB0" w:rsidR="002A6FCF" w:rsidRPr="00163A52" w:rsidRDefault="002A6FCF" w:rsidP="00331061">
      <w:pPr>
        <w:pStyle w:val="Heading2"/>
        <w:spacing w:line="360" w:lineRule="auto"/>
      </w:pPr>
      <w:bookmarkStart w:id="2" w:name="_Toc368419625"/>
      <w:r w:rsidRPr="00163A52">
        <w:t>In silico protein structure analysis</w:t>
      </w:r>
      <w:bookmarkEnd w:id="2"/>
    </w:p>
    <w:p w14:paraId="73ACCC1A" w14:textId="479BC693" w:rsidR="00331061" w:rsidRDefault="00DA40B4" w:rsidP="00331061">
      <w:pPr>
        <w:pStyle w:val="PreformattedText"/>
        <w:spacing w:after="120" w:line="360" w:lineRule="auto"/>
        <w:rPr>
          <w:rFonts w:ascii="Calibri" w:hAnsi="Calibri"/>
          <w:color w:val="000000"/>
          <w:sz w:val="22"/>
          <w:szCs w:val="22"/>
        </w:rPr>
      </w:pPr>
      <w:r w:rsidRPr="00163A52">
        <w:rPr>
          <w:rFonts w:ascii="Calibri" w:hAnsi="Calibri"/>
          <w:color w:val="000000"/>
          <w:sz w:val="22"/>
          <w:szCs w:val="22"/>
        </w:rPr>
        <w:t>Structure guided approaches can provide valuable insight into the molecular mechanism of mutations and their role in diseases</w:t>
      </w:r>
      <w:r w:rsidRPr="00163A52">
        <w:rPr>
          <w:rFonts w:ascii="Calibri" w:hAnsi="Calibri"/>
          <w:color w:val="000000"/>
          <w:sz w:val="22"/>
          <w:szCs w:val="22"/>
        </w:rPr>
        <w:fldChar w:fldCharType="begin" w:fldLock="1"/>
      </w:r>
      <w:r w:rsidR="004B6A5D">
        <w:rPr>
          <w:rFonts w:ascii="Calibri" w:hAnsi="Calibri"/>
          <w:color w:val="000000"/>
          <w:sz w:val="22"/>
          <w:szCs w:val="22"/>
        </w:rPr>
        <w:instrText>ADDIN CSL_CITATION { "citationItems" : [ { "id" : "ITEM-1", "itemData" : { "DOI" : "10.1093/hmg/ddu321", "ISSN" : "1460-2083", "PMID" : "24969085", "abstract" : "Mutations in the von Hippel-Lindau (VHL) gene are pathogenic in VHL disease, congenital polycythaemia and clear cell renal carcinoma (ccRCC). pVHL forms a ternary complex with elongin C and elongin B, critical for pVHL stability and function, which interacts with Cullin-2 and RING-box protein 1 to target hypoxia-inducible factor for polyubiquitination and proteasomal degradation. We describe a comprehensive database of missense VHL mutations linked to experimental and clinical data. We use predictions from in silico tools to link the functional effects of missense VHL mutations to phenotype. The risk of ccRCC in VHL disease is linked to the degree of destabilization resulting from missense mutations. An optimized binary classification system (symphony), which integrates predictions from five in silico methods, can predict the risk of ccRCC associated with VHL missense mutations with high sensitivity and specificity. We use symphony to generate predictions for risk of ccRCC for all possible VHL missense mutations and present these predictions, in association with clinical and experimental data, in a publically available, searchable web server.", "author" : [ { "dropping-particle" : "", "family" : "Gossage", "given" : "Lucy", "non-dropping-particle" : "", "parse-names" : false, "suffix" : "" }, { "dropping-particle" : "V", "family" : "Pires", "given" : "Douglas E", "non-dropping-particle" : "", "parse-names" : false, "suffix" : "" }, { "dropping-particle" : "", "family" : "Olivera-Nappa", "given" : "\u00c1lvaro", "non-dropping-particle" : "", "parse-names" : false, "suffix" : "" }, { "dropping-particle" : "", "family" : "Asenjo", "given" : "Juan", "non-dropping-particle" : "", "parse-names" : false, "suffix" : "" }, { "dropping-particle" : "", "family" : "Bycroft", "given" : "Mark", "non-dropping-particle" : "", "parse-names" : false, "suffix" : "" }, { "dropping-particle" : "", "family" : "Blundell", "given" : "Tom L", "non-dropping-particle" : "", "parse-names" : false, "suffix" : "" }, { "dropping-particle" : "", "family" : "Eisen", "given" : "Tim", "non-dropping-particle" : "", "parse-names" : false, "suffix" : "" } ], "container-title" : "Human molecular genetics", "id" : "ITEM-1", "issue" : "22", "issued" : { "date-parts" : [ [ "2014", "11", "15" ] ] }, "page" : "5976-88", "title" : "An integrated computational approach can classify VHL missense mutations according to risk of clear cell renal carcinoma.", "type" : "article-journal", "volume" : "23" }, "uris" : [ "http://www.mendeley.com/documents/?uuid=af08af80-698d-44c9-8ffb-7b0bfeda5fab" ] }, { "id" : "ITEM-2", "itemData" : { "DOI" : "10.1158/2159-8290.CD-14-1096", "ISSN" : "2159-8274", "PMID" : "25873077", "abstract" : "Familial renal cell carcinoma (RCC) is genetically heterogeneous and may be caused by mutations in multiple genes, including VHL, MET, SDHB, FH, FLCN, PTEN and BAP1. However, most individuals with inherited RCC do not have a detectable germline mutation. To identify novel inherited RCC genes we undertook exome resequencing studies in a familial RCC kindred and identified a CDKN2B nonsense mutation that segregated with familial RCC status. Targeted resequencing of CDKN2B in individuals (n=82) with features of inherited RCC then revealed three candidate CDKN2B missense mutations (p.Pro40Thr, (p.Ala23Glu, p.Asp86Asn). In silico analysis of the three-dimensional structures indicated that each missense substitution was likely pathogenic through reduced stability of the mutant or reduced affinity for CDK4 and CDK6 and in vitro studies demonstrated that each of the mutations impaired CDKN2B-induced suppression of proliferation in a RCC cell line. These findings identify germline CDKN2B mutations as a novel cause of familial RCC.", "author" : [ { "dropping-particle" : "", "family" : "Jafri", "given" : "M.", "non-dropping-particle" : "", "parse-names" : false, "suffix" : "" }, { "dropping-particle" : "", "family" : "Wake", "given" : "N. C.", "non-dropping-particle" : "", "parse-names" : false, "suffix" : "" }, { "dropping-particle" : "", "family" : "Ascher", "given" : "D. B.", "non-dropping-particle" : "", "parse-names" : false, "suffix" : "" }, { "dropping-particle" : "V.", "family" : "Pires", "given" : "D. E.", "non-dropping-particle" : "", "parse-names" : false, "suffix" : "" }, { "dropping-particle" : "", "family" : "Gentle", "given" : "D.", "non-dropping-particle" : "", "parse-names" : false, "suffix" : "" }, { "dropping-particle" : "", "family" : "Morris", "given" : "M. R.", "non-dropping-particle" : "", "parse-names" : false, "suffix" : "" }, { "dropping-particle" : "", "family" : "Rattenberry", "given" : "E.", "non-dropping-particle" : "", "parse-names" : false, "suffix" : "" }, { "dropping-particle" : "", "family" : "Simpson", "given" : "M. A.", "non-dropping-particle" : "", "parse-names" : false, "suffix" : "" }, { "dropping-particle" : "", "family" : "Trembath", "given" : "R. C.", "non-dropping-particle" : "", "parse-names" : false, "suffix" : "" }, { "dropping-particle" : "", "family" : "Weber", "given" : "A.", "non-dropping-particle" : "", "parse-names" : false, "suffix" : "" }, { "dropping-particle" : "", "family" : "Woodward", "given" : "E. R.", "non-dropping-particle" : "", "parse-names" : false, "suffix" : "" }, { "dropping-particle" : "", "family" : "Donaldson", "given" : "A.", "non-dropping-particle" : "", "parse-names" : false, "suffix" : "" }, { "dropping-particle" : "", "family" : "Blundell", "given" : "T. L.", "non-dropping-particle" : "", "parse-names" : false, "suffix" : "" }, { "dropping-particle" : "", "family" : "Latif", "given" : "F.", "non-dropping-particle" : "", "parse-names" : false, "suffix" : "" }, { "dropping-particle" : "", "family" : "Maher", "given" : "E. R.", "non-dropping-particle" : "", "parse-names" : false, "suffix" : "" } ], "container-title" : "Cancer Discovery", "id" : "ITEM-2", "issued" : { "date-parts" : [ [ "2015", "4", "14" ] ] }, "title" : "Germline Mutations in the CDKN2B tumor suppressor gene predispose to renal cell carcinoma", "type" : "article-journal" }, "uris" : [ "http://www.mendeley.com/documents/?uuid=4b7353f8-c2df-4d72-aa11-127f69edc4bc" ] }, { "id" : "ITEM-3", "itemData" : { "DOI" : "10.1038/ejhg.2015.60", "ISSN" : "1476-5438", "PMID" : "25804398", "abstract" : "Alkaptonuria (AKU) is an autosomal recessive disorder caused by mutations in homogentisate-1,2-dioxygenase (HGD) gene leading to the deficiency of HGD enzyme activity. The DevelopAKUre project is underway to test nitisinone as a specific treatment to counteract this derangement of the phenylalanine-tyrosine catabolic pathway. We analysed DNA of 40 AKU patients enrolled for SONIA1, the first study in DevelopAKUre, and of 59 other AKU patients sent to our laboratory for molecular diagnostics. We identified 12 novel DNA variants: one was identified in patients from Brazil (c.557T&gt;A), Slovakia (c.500C&gt;T) and France (c.440T&gt;C), three in patients from India (c.469+6T&gt;C, c.650-85A&gt;G, c.158G&gt;A), and six in patients from Italy (c.742A&gt;G, c.614G&gt;A, c.1057A&gt;C, c.752G&gt;A, c.119A&gt;C, c.926G&gt;T). Thus, the total number of potential AKU-causing variants found in 380 patients reported in the HGD mutation database is now 129. Using mCSM and DUET, computational approaches based on the protein 3D structure, the novel missense variants are predicted to affect the activity of the enzyme by three mechanisms: decrease of stability of individual protomers, disruption of protomer-protomer interactions or modification of residues in the region of the active site. We also present an overview of AKU in Italy, where so far about 60 AKU cases are known and DNA analysis has been reported for 34 of them. In this rather small group, 26 different HGD variants affecting function were described, indicating rather high heterogeneity. Twelve of these variants seem to be specific for Italy.European Journal of Human Genetics advance online publication, 25 March 2015; doi:10.1038/ejhg.2015.60.", "author" : [ { "dropping-particle" : "", "family" : "Nemethova", "given" : "Martina", "non-dropping-particle" : "", "parse-names" : false, "suffix" : "" }, { "dropping-particle" : "", "family" : "Radvanszky", "given" : "Jan", "non-dropping-particle" : "", "parse-names" : false, "suffix" : "" }, { "dropping-particle" : "", "family" : "Kadasi", "given" : "Ludevit", "non-dropping-particle" : "", "parse-names" : false, "suffix" : "" }, { "dropping-particle" : "", "family" : "Ascher", "given" : "David B", "non-dropping-particle" : "", "parse-names" : false, "suffix" : "" }, { "dropping-particle" : "V", "family" : "Pires", "given" : "Douglas E", "non-dropping-particle" : "", "parse-names" : false, "suffix" : "" }, { "dropping-particle" : "", "family" : "Blundell", "given" : "Tom L", "non-dropping-particle" : "", "parse-names" : false, "suffix" : "" }, { "dropping-particle" : "", "family" : "Porfirio", "given" : "Berardino", "non-dropping-particle" : "", "parse-names" : false, "suffix" : "" }, { "dropping-particle" : "", "family" : "Mannoni", "given" : "Alessandro", "non-dropping-particle" : "", "parse-names" : false, "suffix" : "" }, { "dropping-particle" : "", "family" : "Santucci", "given" : "Annalisa", "non-dropping-particle" : "", "parse-names" : false, "suffix" : "" }, { "dropping-particle" : "", "family" : "Milucci", "given" : "Lia", "non-dropping-particle" : "", "parse-names" : false, "suffix" : "" }, { "dropping-particle" : "", "family" : "Sestini", "given" : "Silvia", "non-dropping-particle" : "", "parse-names" : false, "suffix" : "" }, { "dropping-particle" : "", "family" : "Biolcati", "given" : "Gianfranco", "non-dropping-particle" : "", "parse-names" : false, "suffix" : "" }, { "dropping-particle" : "", "family" : "Sorge", "given" : "Fiammetta", "non-dropping-particle" : "", "parse-names" : false, "suffix" : "" }, { "dropping-particle" : "", "family" : "Aurizi", "given" : "Caterina", "non-dropping-particle" : "", "parse-names" : false, "suffix" : "" }, { "dropping-particle" : "", "family" : "Aquaron", "given" : "Robert", "non-dropping-particle" : "", "parse-names" : false, "suffix" : "" }, { "dropping-particle" : "", "family" : "Alsbou", "given" : "Mohammed", "non-dropping-particle" : "", "parse-names" : false, "suffix" : "" }, { "dropping-particle" : "", "family" : "Marques Louren\u00e7o", "given" : "Charles", "non-dropping-particle" : "", "parse-names" : false, "suffix" : "" }, { "dropping-particle" : "", "family" : "Ramadevi", "given" : "Kanakasabapathi", "non-dropping-particle" : "", "parse-names" : false, "suffix" : "" }, { "dropping-particle" : "", "family" : "Ranganath", "given" : "Lakshminarayan R", "non-dropping-particle" : "", "parse-names" : false, "suffix" : "" }, { "dropping-particle" : "", "family" : "Gallagher", "given" : "James A", "non-dropping-particle" : "", "parse-names" : false, "suffix" : "" }, { "dropping-particle" : "", "family" : "Kan", "given" : "Christa", "non-dropping-particle" : "van", "parse-names" : false, "suffix" : "" }, { "dropping-particle" : "", "family" : "Hall", "given" : "Anthony K", "non-dropping-particle" : "", "parse-names" : false, "suffix" : "" }, { "dropping-particle" : "", "family" : "Olsson", "given" : "Birgitta", "non-dropping-particle" : "", "parse-names" : false, "suffix" : "" }, { "dropping-particle" : "", "family" : "Sireau", "given" : "Nicolas", "non-dropping-particle" : "", "parse-names" : false, "suffix" : "" }, { "dropping-particle" : "", "family" : "Ayoob", "given" : "Hana", "non-dropping-particle" : "", "parse-names" : false, "suffix" : "" }, { "dropping-particle" : "", "family" : "Timmis", "given" : "Oliver G", "non-dropping-particle" : "", "parse-names" : false, "suffix" : "" }, { "dropping-particle" : "", "family" : "Quan Sang", "given" : "Kim-Hanh", "non-dropping-particle" : "Le", "parse-names" : false, "suffix" : "" }, { "dropping-particle" : "", "family" : "Genovese", "given" : "Federica", "non-dropping-particle" : "", "parse-names" : false, "suffix" : "" }, { "dropping-particle" : "", "family" : "Imrich", "given" : "Richard", "non-dropping-particle" : "", "parse-names" : false, "suffix" : "" }, { "dropping-particle" : "", "family" : "Rovensky", "given" : "Jozef", "non-dropping-particle" : "", "parse-names" : false, "suffix" : "" }, { "dropping-particle" : "", "family" : "Srinivasaraghavan", "given" : "Rangan", "non-dropping-particle" : "", "parse-names" : false, "suffix" : "" }, { "dropping-particle" : "", "family" : "Bharadwaj", "given" : "Shruthi K", "non-dropping-particle" : "", "parse-names" : false, "suffix" : "" }, { "dropping-particle" : "", "family" : "Spiegel", "given" : "Ronen", "non-dropping-particle" : "", "parse-names" : false, "suffix" : "" }, { "dropping-particle" : "", "family" : "Zatkova", "given" : "Andrea", "non-dropping-particle" : "", "parse-names" : false, "suffix" : "" } ], "container-title" : "European journal of human genetics : EJHG", "id" : "ITEM-3", "issued" : { "date-parts" : [ [ "2015", "3", "25" ] ] }, "title" : "Twelve novel HGD gene variants identified in 99 alkaptonuria patients: focus on 'black bone disease' in Italy.", "type" : "article-journal" }, "uris" : [ "http://www.mendeley.com/documents/?uuid=0f52684f-565a-4f02-9738-8537e47ea421" ] }, { "id" : "ITEM-4", "itemData" : { "DOI" : "10.1007/8904_2014_380", "ISSN" : "2192-8304", "PMID" : "25681086", "abstract" : "Alkaptonuria (AKU) is a rare autosomal recessive disorder with incidence ranging from 1:100,000 to 1:250,000. The disorder is caused by a deficiency of the enzyme homogentisate 1,2-dioxygenase (HGD), which results from defects in the HGD gene. This enzyme converts homogentisic acid to maleylacetoacetate and has a major role in the catabolism of phenylalanine and tyrosine. To elucidate the mutation spectrum of the HGD gene in patients with alkaptonuria from 42 patients attending the National Alkaptonuria Centre, 14 exons of the HGD gene and the intron-exon boundaries were analysed by PCR-based sequencing. A total of 34 sequence variants was observed, confirming the genetic heterogeneity of AKU. Of these mutations, 26 were missense substitutions and four splice site mutations. There were two deletions and one duplication giving rise to frame shifts and one substitution abolishing the translation termination codon (no stop). Nine of the mutations were previously unreported novel variants. Using computational approaches based on the 3D structure, these novel mutations are predicted to affect the activity of the protein complex through destabilisation of the individual protomer structure or through disruption of protomer-protomer interactions.", "author" : [ { "dropping-particle" : "", "family" : "Usher", "given" : "Jeannette L", "non-dropping-particle" : "", "parse-names" : false, "suffix" : "" }, { "dropping-particle" : "", "family" : "Ascher", "given" : "David B", "non-dropping-particle" : "", "parse-names" : false, "suffix" : "" }, { "dropping-particle" : "V", "family" : "Pires", "given" : "Douglas E", "non-dropping-particle" : "", "parse-names" : false, "suffix" : "" }, { "dropping-particle" : "", "family" : "Milan", "given" : "Anna M", "non-dropping-particle" : "", "parse-names" : false, "suffix" : "" }, { "dropping-particle" : "", "family" : "Blundell", "given" : "Tom L", "non-dropping-particle" : "", "parse-names" : false, "suffix" : "" }, { "dropping-particle" : "", "family" : "Ranganath", "given" : "Lakshminarayan R", "non-dropping-particle" : "", "parse-names" : false, "suffix" : "" } ], "container-title" : "JIMD reports", "id" : "ITEM-4", "issued" : { "date-parts" : [ [ "2015", "2", "15" ] ] }, "title" : "Analysis of HGD Gene Mutations in Patients with Alkaptonuria from the United Kingdom: Identification of Novel Mutations.", "type" : "article-journal" }, "uris" : [ "http://www.mendeley.com/documents/?uuid=608b80ee-e59d-44d8-bbc8-2bede930f623" ] } ], "mendeley" : { "formattedCitation" : "[1\u20134]", "plainTextFormattedCitation" : "[1\u20134]", "previouslyFormattedCitation" : "&lt;sup&gt;1\u20134&lt;/sup&gt;" }, "properties" : {  }, "schema" : "https://github.com/citation-style-language/schema/raw/master/csl-citation.json" }</w:instrText>
      </w:r>
      <w:r w:rsidRPr="00163A52">
        <w:rPr>
          <w:rFonts w:ascii="Calibri" w:hAnsi="Calibri"/>
          <w:color w:val="000000"/>
          <w:sz w:val="22"/>
          <w:szCs w:val="22"/>
        </w:rPr>
        <w:fldChar w:fldCharType="separate"/>
      </w:r>
      <w:r w:rsidR="004B6A5D" w:rsidRPr="004B6A5D">
        <w:rPr>
          <w:rFonts w:ascii="Calibri" w:hAnsi="Calibri"/>
          <w:noProof/>
          <w:color w:val="000000"/>
          <w:sz w:val="22"/>
          <w:szCs w:val="22"/>
        </w:rPr>
        <w:t>[1–4]</w:t>
      </w:r>
      <w:r w:rsidRPr="00163A52">
        <w:rPr>
          <w:rFonts w:ascii="Calibri" w:hAnsi="Calibri"/>
          <w:color w:val="000000"/>
          <w:sz w:val="22"/>
          <w:szCs w:val="22"/>
        </w:rPr>
        <w:fldChar w:fldCharType="end"/>
      </w:r>
      <w:r w:rsidRPr="00163A52">
        <w:rPr>
          <w:rFonts w:ascii="Calibri" w:hAnsi="Calibri"/>
          <w:color w:val="000000"/>
          <w:sz w:val="22"/>
          <w:szCs w:val="22"/>
        </w:rPr>
        <w:t xml:space="preserve">. </w:t>
      </w:r>
      <w:proofErr w:type="spellStart"/>
      <w:r w:rsidRPr="00163A52">
        <w:rPr>
          <w:rFonts w:ascii="Calibri" w:hAnsi="Calibri"/>
          <w:color w:val="000000"/>
          <w:sz w:val="22"/>
          <w:szCs w:val="22"/>
        </w:rPr>
        <w:t>mCSM</w:t>
      </w:r>
      <w:proofErr w:type="spellEnd"/>
      <w:r w:rsidRPr="00163A52">
        <w:rPr>
          <w:rFonts w:ascii="Calibri" w:hAnsi="Calibri"/>
          <w:color w:val="000000"/>
          <w:sz w:val="22"/>
          <w:szCs w:val="22"/>
        </w:rPr>
        <w:t xml:space="preserve"> and DUET are novel machine-learning methods that use graph-based structural signatures to represent the three dimensional residue environment structure in order to quantitatively predict the effects of missense mutations on protein stability, and binding affinities to their partners. To evaluate the structural effects of missense mutations, models of SDHB (NM_003000.2), based on the X-ray crystal structure of succinate dehydrogenase </w:t>
      </w:r>
      <w:proofErr w:type="spellStart"/>
      <w:r w:rsidR="00774CB8" w:rsidRPr="00163A52">
        <w:rPr>
          <w:rFonts w:ascii="Calibri" w:hAnsi="Calibri"/>
          <w:color w:val="000000"/>
          <w:sz w:val="22"/>
          <w:szCs w:val="22"/>
        </w:rPr>
        <w:t>I</w:t>
      </w:r>
      <w:r w:rsidRPr="00163A52">
        <w:rPr>
          <w:rFonts w:ascii="Calibri" w:hAnsi="Calibri"/>
          <w:color w:val="000000"/>
          <w:sz w:val="22"/>
          <w:szCs w:val="22"/>
        </w:rPr>
        <w:t>p</w:t>
      </w:r>
      <w:proofErr w:type="spellEnd"/>
      <w:r w:rsidRPr="00163A52">
        <w:rPr>
          <w:rFonts w:ascii="Calibri" w:hAnsi="Calibri"/>
          <w:color w:val="000000"/>
          <w:sz w:val="22"/>
          <w:szCs w:val="22"/>
        </w:rPr>
        <w:t xml:space="preserve"> subunit (PDB code: 2H89; sequence identity 92%), and SDHD (NM_003002.2), based on the X-ray crystal structure of small cytochrome binding protein (PDB code: 1ZP0; sequence identity 95%), were generated using Modell</w:t>
      </w:r>
      <w:r w:rsidRPr="00163A52">
        <w:rPr>
          <w:rStyle w:val="CommentReference"/>
          <w:rFonts w:ascii="Calibri" w:eastAsia="Arial Unicode MS" w:hAnsi="Calibri"/>
          <w:color w:val="000000"/>
          <w:sz w:val="22"/>
          <w:szCs w:val="22"/>
        </w:rPr>
        <w:t>er</w:t>
      </w:r>
      <w:r w:rsidRPr="00163A52">
        <w:rPr>
          <w:rFonts w:ascii="Calibri" w:hAnsi="Calibri"/>
          <w:color w:val="000000"/>
          <w:sz w:val="22"/>
          <w:szCs w:val="22"/>
        </w:rPr>
        <w:fldChar w:fldCharType="begin" w:fldLock="1"/>
      </w:r>
      <w:r w:rsidR="004B6A5D">
        <w:rPr>
          <w:rFonts w:ascii="Calibri" w:hAnsi="Calibri"/>
          <w:color w:val="000000"/>
          <w:sz w:val="22"/>
          <w:szCs w:val="22"/>
        </w:rPr>
        <w:instrText>ADDIN CSL_CITATION { "citationItems" : [ { "id" : "ITEM-1", "itemData" : { "DOI" : "10.1006/jmbi.1993.1626", "ISSN" : "0022-2836", "PMID" : "8254673", "abstract" : "We describe a comparative protein modelling method designed to find the most probable structure for a sequence given its alignment with related structures. The three-dimensional (3D) model is obtained by optimally satisfying spatial restraints derived from the alignment and expressed as probability density functions (pdfs) for the features restrained. For example, the probabilities for main-chain conformations of a modelled residue may be restrained by its residue type, main-chain conformation of an equivalent residue in a related protein, and the local similarity between the two sequences. Several such pdfs are obtained from the correlations between structural features in 17 families of homologous proteins which have been aligned on the basis of their 3D structures. The pdfs restrain C alpha-C alpha distances, main-chain N-O distances, main-chain and side-chain dihedral angles. A smoothing procedure is used in the derivation of these relationships to minimize the problem of a sparse database. The 3D model of a protein is obtained by optimization of the molecular pdf such that the model violates the input restraints as little as possible. The molecular pdf is derived as a combination of pdfs restraining individual spatial features of the whole molecule. The optimization procedure is a variable target function method that applies the conjugate gradients algorithm to positions of all non-hydrogen atoms. The method is automated and is illustrated by the modelling of trypsin from two other serine proteinases.", "author" : [ { "dropping-particle" : "", "family" : "Sali", "given" : "A", "non-dropping-particle" : "", "parse-names" : false, "suffix" : "" }, { "dropping-particle" : "", "family" : "Blundell", "given" : "T L", "non-dropping-particle" : "", "parse-names" : false, "suffix" : "" } ], "container-title" : "Journal of molecular biology", "id" : "ITEM-1", "issue" : "3", "issued" : { "date-parts" : [ [ "1993", "12", "5" ] ] }, "page" : "779-815", "title" : "Comparative protein modelling by satisfaction of spatial restraints.", "type" : "article-journal", "volume" : "234" }, "uris" : [ "http://www.mendeley.com/documents/?uuid=1c6a0ae3-914f-492e-9691-e1523698a2ea" ] } ], "mendeley" : { "formattedCitation" : "[5]", "plainTextFormattedCitation" : "[5]", "previouslyFormattedCitation" : "&lt;sup&gt;5&lt;/sup&gt;" }, "properties" : {  }, "schema" : "https://github.com/citation-style-language/schema/raw/master/csl-citation.json" }</w:instrText>
      </w:r>
      <w:r w:rsidRPr="00163A52">
        <w:rPr>
          <w:rFonts w:ascii="Calibri" w:hAnsi="Calibri"/>
          <w:color w:val="000000"/>
          <w:sz w:val="22"/>
          <w:szCs w:val="22"/>
        </w:rPr>
        <w:fldChar w:fldCharType="separate"/>
      </w:r>
      <w:r w:rsidR="004B6A5D" w:rsidRPr="004B6A5D">
        <w:rPr>
          <w:rFonts w:ascii="Calibri" w:hAnsi="Calibri"/>
          <w:noProof/>
          <w:color w:val="000000"/>
          <w:sz w:val="22"/>
          <w:szCs w:val="22"/>
        </w:rPr>
        <w:t>[5]</w:t>
      </w:r>
      <w:r w:rsidRPr="00163A52">
        <w:rPr>
          <w:rFonts w:ascii="Calibri" w:hAnsi="Calibri"/>
          <w:color w:val="000000"/>
          <w:sz w:val="22"/>
          <w:szCs w:val="22"/>
        </w:rPr>
        <w:fldChar w:fldCharType="end"/>
      </w:r>
      <w:r w:rsidRPr="00163A52">
        <w:rPr>
          <w:rFonts w:ascii="Calibri" w:hAnsi="Calibri"/>
          <w:color w:val="000000"/>
          <w:sz w:val="22"/>
          <w:szCs w:val="22"/>
        </w:rPr>
        <w:t xml:space="preserve"> and </w:t>
      </w:r>
      <w:proofErr w:type="spellStart"/>
      <w:r w:rsidRPr="00163A52">
        <w:rPr>
          <w:rFonts w:ascii="Calibri" w:hAnsi="Calibri"/>
          <w:color w:val="000000"/>
          <w:sz w:val="22"/>
          <w:szCs w:val="22"/>
        </w:rPr>
        <w:t>MacroModel</w:t>
      </w:r>
      <w:proofErr w:type="spellEnd"/>
      <w:r w:rsidRPr="00163A52">
        <w:rPr>
          <w:rFonts w:ascii="Calibri" w:hAnsi="Calibri"/>
          <w:color w:val="000000"/>
          <w:sz w:val="22"/>
          <w:szCs w:val="22"/>
        </w:rPr>
        <w:t xml:space="preserve"> (Schrodinger, New York, NY). The DUET scoring system</w:t>
      </w:r>
      <w:r w:rsidRPr="00163A52">
        <w:rPr>
          <w:rFonts w:ascii="Calibri" w:hAnsi="Calibri"/>
          <w:color w:val="000000"/>
          <w:sz w:val="22"/>
          <w:szCs w:val="22"/>
        </w:rPr>
        <w:fldChar w:fldCharType="begin" w:fldLock="1"/>
      </w:r>
      <w:r w:rsidR="004B6A5D">
        <w:rPr>
          <w:rFonts w:ascii="Calibri" w:hAnsi="Calibri"/>
          <w:color w:val="000000"/>
          <w:sz w:val="22"/>
          <w:szCs w:val="22"/>
        </w:rPr>
        <w:instrText>ADDIN CSL_CITATION { "citationItems" : [ { "id" : "ITEM-1", "itemData" : { "DOI" : "10.1093/nar/gku411", "ISSN" : "1362-4962", "PMID" : "24829462", "abstract" : "Cancer genome and other sequencing initiatives are generating extensive data on non-synonymous single nucleotide polymorphisms (nsSNPs) in human and other genomes. In order to understand the impacts of nsSNPs on the structure and function of the proteome, as well as to guide protein engineering, accurate in silicomethodologies are required to study and predict their effects on protein stability. Despite the diversity of available computational methods in the literature, none has proven accurate and dependable on its own under all scenarios where mutation analysis is required. Here we present DUET, a web server for an integrated computational approach to study missense mutations in proteins. DUET consolidates two complementary approaches (mCSM and SDM) in a consensus prediction, obtained by combining the results of the separate methods in an optimized predictor using Support Vector Machines (SVM). We demonstrate that the proposed method improves overall accuracy of the predictions in comparison with either method individually and performs as well as or better than similar methods. The DUET web server is freely and openly available at http://structure.bioc.cam.ac.uk/duet.", "author" : [ { "dropping-particle" : "V", "family" : "Pires", "given" : "Douglas E", "non-dropping-particle" : "", "parse-names" : false, "suffix" : "" }, { "dropping-particle" : "", "family" : "Ascher", "given" : "David B", "non-dropping-particle" : "", "parse-names" : false, "suffix" : "" }, { "dropping-particle" : "", "family" : "Blundell", "given" : "Tom L", "non-dropping-particle" : "", "parse-names" : false, "suffix" : "" } ], "container-title" : "Nucleic acids research", "id" : "ITEM-1", "issue" : "Web Server issue", "issued" : { "date-parts" : [ [ "2014", "7" ] ] }, "page" : "W314-9", "title" : "DUET: a server for predicting effects of mutations on protein stability using an integrated computational approach.", "type" : "article-journal", "volume" : "42" }, "uris" : [ "http://www.mendeley.com/documents/?uuid=e1e3737f-210c-45b0-9ba5-94d5acf70238" ] }, { "id" : "ITEM-2", "itemData" : { "DOI" : "10.1093/bioinformatics/btt691", "ISSN" : "1367-4811", "PMID" : "24281696", "abstract" : "MOTIVATION: Mutations play fundamental roles in evolution by introducing diversity into genomes. Missense mutations in structural genes may become either selectively advantageous or disadvantageous to the organism by affecting protein stability and/or interfering with interactions between partners. Thus, the ability to predict the impact of mutations on protein stability and interactions is of significant value, particularly in understanding the effects of Mendelian and somatic mutations on the progression of disease. Here, we propose a novel approach to the study of missense mutations, called mCSM, which relies on graph-based signatures. These encode distance patterns between atoms and are used to represent the protein residue environment and to train predictive models. To understand the roles of mutations in disease, we have evaluated their impacts not only on protein stability but also on protein-protein and protein-nucleic acid interactions.\n\nRESULTS: We show that mCSM performs as well as or better than other methods that are used widely. The mCSM signatures were successfully used in different tasks demonstrating that the impact of a mutation can be correlated with the atomic-distance patterns surrounding an amino acid residue. We showed that mCSM can predict stability changes of a wide range of mutations occurring in the tumour suppressor protein p53, demonstrating the applicability of the proposed method in a challenging disease scenario.\n\nAVAILABILITY AND IMPLEMENTATION: A web server is available at http://structure.bioc.cam.ac.uk/mcsm.", "author" : [ { "dropping-particle" : "V", "family" : "Pires", "given" : "Douglas E", "non-dropping-particle" : "", "parse-names" : false, "suffix" : "" }, { "dropping-particle" : "", "family" : "Ascher", "given" : "David B", "non-dropping-particle" : "", "parse-names" : false, "suffix" : "" }, { "dropping-particle" : "", "family" : "Blundell", "given" : "Tom L", "non-dropping-particle" : "", "parse-names" : false, "suffix" : "" } ], "container-title" : "Bioinformatics (Oxford, England)", "id" : "ITEM-2", "issue" : "3", "issued" : { "date-parts" : [ [ "2014", "2", "1" ] ] }, "page" : "335-42", "title" : "mCSM: predicting the effects of mutations in proteins using graph-based signatures.", "type" : "article-journal", "volume" : "30" }, "uris" : [ "http://www.mendeley.com/documents/?uuid=48927659-2019-4163-9471-3097408447eb" ] } ], "mendeley" : { "formattedCitation" : "[6, 7]", "plainTextFormattedCitation" : "[6, 7]", "previouslyFormattedCitation" : "&lt;sup&gt;6,7&lt;/sup&gt;" }, "properties" : {  }, "schema" : "https://github.com/citation-style-language/schema/raw/master/csl-citation.json" }</w:instrText>
      </w:r>
      <w:r w:rsidRPr="00163A52">
        <w:rPr>
          <w:rFonts w:ascii="Calibri" w:hAnsi="Calibri"/>
          <w:color w:val="000000"/>
          <w:sz w:val="22"/>
          <w:szCs w:val="22"/>
        </w:rPr>
        <w:fldChar w:fldCharType="separate"/>
      </w:r>
      <w:r w:rsidR="004B6A5D" w:rsidRPr="004B6A5D">
        <w:rPr>
          <w:rFonts w:ascii="Calibri" w:hAnsi="Calibri"/>
          <w:noProof/>
          <w:color w:val="000000"/>
          <w:sz w:val="22"/>
          <w:szCs w:val="22"/>
        </w:rPr>
        <w:t>[6, 7]</w:t>
      </w:r>
      <w:r w:rsidRPr="00163A52">
        <w:rPr>
          <w:rFonts w:ascii="Calibri" w:hAnsi="Calibri"/>
          <w:color w:val="000000"/>
          <w:sz w:val="22"/>
          <w:szCs w:val="22"/>
        </w:rPr>
        <w:fldChar w:fldCharType="end"/>
      </w:r>
      <w:r w:rsidRPr="00163A52">
        <w:rPr>
          <w:rFonts w:ascii="Calibri" w:hAnsi="Calibri"/>
          <w:color w:val="000000"/>
          <w:sz w:val="22"/>
          <w:szCs w:val="22"/>
        </w:rPr>
        <w:t xml:space="preserve"> was used to predict the </w:t>
      </w:r>
      <w:r w:rsidR="00774CB8" w:rsidRPr="00163A52">
        <w:rPr>
          <w:rFonts w:ascii="Calibri" w:hAnsi="Calibri"/>
          <w:color w:val="000000"/>
          <w:sz w:val="22"/>
          <w:szCs w:val="22"/>
        </w:rPr>
        <w:t xml:space="preserve">effects of mutations on stability, based on changes in the Gibbs free energy of folding, </w:t>
      </w:r>
      <w:r w:rsidRPr="00163A52">
        <w:rPr>
          <w:rFonts w:ascii="Calibri" w:hAnsi="Calibri"/>
          <w:color w:val="000000"/>
          <w:sz w:val="22"/>
          <w:szCs w:val="22"/>
        </w:rPr>
        <w:t xml:space="preserve">using the models of </w:t>
      </w:r>
      <w:r w:rsidRPr="00163A52">
        <w:rPr>
          <w:rFonts w:ascii="Calibri" w:hAnsi="Calibri"/>
          <w:i/>
          <w:iCs/>
          <w:color w:val="000000"/>
          <w:sz w:val="22"/>
          <w:szCs w:val="22"/>
        </w:rPr>
        <w:t>SDHB</w:t>
      </w:r>
      <w:r w:rsidRPr="00163A52">
        <w:rPr>
          <w:rFonts w:ascii="Calibri" w:hAnsi="Calibri"/>
          <w:color w:val="000000"/>
          <w:sz w:val="22"/>
          <w:szCs w:val="22"/>
        </w:rPr>
        <w:t xml:space="preserve">  and </w:t>
      </w:r>
      <w:r w:rsidRPr="00163A52">
        <w:rPr>
          <w:rFonts w:ascii="Calibri" w:hAnsi="Calibri"/>
          <w:i/>
          <w:iCs/>
          <w:color w:val="000000"/>
          <w:sz w:val="22"/>
          <w:szCs w:val="22"/>
        </w:rPr>
        <w:t>SDHD</w:t>
      </w:r>
      <w:r w:rsidRPr="00163A52">
        <w:rPr>
          <w:rFonts w:ascii="Calibri" w:hAnsi="Calibri"/>
          <w:color w:val="000000"/>
          <w:sz w:val="22"/>
          <w:szCs w:val="22"/>
        </w:rPr>
        <w:t xml:space="preserve">. </w:t>
      </w:r>
      <w:r w:rsidR="00774CB8" w:rsidRPr="00163A52">
        <w:rPr>
          <w:rFonts w:ascii="Calibri" w:hAnsi="Calibri"/>
          <w:color w:val="000000"/>
          <w:sz w:val="22"/>
          <w:szCs w:val="22"/>
        </w:rPr>
        <w:t>A model of the human succinate complex was built using the avian respiratory complex II (PDB code: 1ZP0) using Modell</w:t>
      </w:r>
      <w:r w:rsidR="00774CB8" w:rsidRPr="00163A52">
        <w:rPr>
          <w:rStyle w:val="CommentReference"/>
          <w:rFonts w:ascii="Calibri" w:eastAsia="Arial Unicode MS" w:hAnsi="Calibri"/>
          <w:color w:val="000000"/>
          <w:sz w:val="22"/>
          <w:szCs w:val="22"/>
        </w:rPr>
        <w:t>er</w:t>
      </w:r>
      <w:r w:rsidR="00774CB8" w:rsidRPr="00163A52">
        <w:rPr>
          <w:rFonts w:ascii="Calibri" w:hAnsi="Calibri"/>
          <w:color w:val="000000"/>
          <w:sz w:val="22"/>
          <w:szCs w:val="22"/>
        </w:rPr>
        <w:fldChar w:fldCharType="begin" w:fldLock="1"/>
      </w:r>
      <w:r w:rsidR="004B6A5D">
        <w:rPr>
          <w:rFonts w:ascii="Calibri" w:hAnsi="Calibri"/>
          <w:color w:val="000000"/>
          <w:sz w:val="22"/>
          <w:szCs w:val="22"/>
        </w:rPr>
        <w:instrText>ADDIN CSL_CITATION { "citationItems" : [ { "id" : "ITEM-1", "itemData" : { "DOI" : "10.1006/jmbi.1993.1626", "ISSN" : "0022-2836", "PMID" : "8254673", "abstract" : "We describe a comparative protein modelling method designed to find the most probable structure for a sequence given its alignment with related structures. The three-dimensional (3D) model is obtained by optimally satisfying spatial restraints derived from the alignment and expressed as probability density functions (pdfs) for the features restrained. For example, the probabilities for main-chain conformations of a modelled residue may be restrained by its residue type, main-chain conformation of an equivalent residue in a related protein, and the local similarity between the two sequences. Several such pdfs are obtained from the correlations between structural features in 17 families of homologous proteins which have been aligned on the basis of their 3D structures. The pdfs restrain C alpha-C alpha distances, main-chain N-O distances, main-chain and side-chain dihedral angles. A smoothing procedure is used in the derivation of these relationships to minimize the problem of a sparse database. The 3D model of a protein is obtained by optimization of the molecular pdf such that the model violates the input restraints as little as possible. The molecular pdf is derived as a combination of pdfs restraining individual spatial features of the whole molecule. The optimization procedure is a variable target function method that applies the conjugate gradients algorithm to positions of all non-hydrogen atoms. The method is automated and is illustrated by the modelling of trypsin from two other serine proteinases.", "author" : [ { "dropping-particle" : "", "family" : "Sali", "given" : "A", "non-dropping-particle" : "", "parse-names" : false, "suffix" : "" }, { "dropping-particle" : "", "family" : "Blundell", "given" : "T L", "non-dropping-particle" : "", "parse-names" : false, "suffix" : "" } ], "container-title" : "Journal of molecular biology", "id" : "ITEM-1", "issue" : "3", "issued" : { "date-parts" : [ [ "1993", "12", "5" ] ] }, "page" : "779-815", "title" : "Comparative protein modelling by satisfaction of spatial restraints.", "type" : "article-journal", "volume" : "234" }, "uris" : [ "http://www.mendeley.com/documents/?uuid=1c6a0ae3-914f-492e-9691-e1523698a2ea" ] } ], "mendeley" : { "formattedCitation" : "[5]", "plainTextFormattedCitation" : "[5]", "previouslyFormattedCitation" : "&lt;sup&gt;5&lt;/sup&gt;" }, "properties" : {  }, "schema" : "https://github.com/citation-style-language/schema/raw/master/csl-citation.json" }</w:instrText>
      </w:r>
      <w:r w:rsidR="00774CB8" w:rsidRPr="00163A52">
        <w:rPr>
          <w:rFonts w:ascii="Calibri" w:hAnsi="Calibri"/>
          <w:color w:val="000000"/>
          <w:sz w:val="22"/>
          <w:szCs w:val="22"/>
        </w:rPr>
        <w:fldChar w:fldCharType="separate"/>
      </w:r>
      <w:r w:rsidR="004B6A5D" w:rsidRPr="004B6A5D">
        <w:rPr>
          <w:rFonts w:ascii="Calibri" w:hAnsi="Calibri"/>
          <w:noProof/>
          <w:color w:val="000000"/>
          <w:sz w:val="22"/>
          <w:szCs w:val="22"/>
        </w:rPr>
        <w:t>[5]</w:t>
      </w:r>
      <w:r w:rsidR="00774CB8" w:rsidRPr="00163A52">
        <w:rPr>
          <w:rFonts w:ascii="Calibri" w:hAnsi="Calibri"/>
          <w:color w:val="000000"/>
          <w:sz w:val="22"/>
          <w:szCs w:val="22"/>
        </w:rPr>
        <w:fldChar w:fldCharType="end"/>
      </w:r>
      <w:r w:rsidR="00774CB8" w:rsidRPr="00163A52">
        <w:rPr>
          <w:rFonts w:ascii="Calibri" w:hAnsi="Calibri"/>
          <w:color w:val="000000"/>
          <w:sz w:val="22"/>
          <w:szCs w:val="22"/>
        </w:rPr>
        <w:t xml:space="preserve">. The effects of mutations on the binding affinities between the respective subunits was predicted using </w:t>
      </w:r>
      <w:proofErr w:type="spellStart"/>
      <w:r w:rsidR="00774CB8" w:rsidRPr="00163A52">
        <w:rPr>
          <w:rFonts w:ascii="Calibri" w:hAnsi="Calibri"/>
          <w:color w:val="000000"/>
          <w:sz w:val="22"/>
          <w:szCs w:val="22"/>
        </w:rPr>
        <w:t>mCSM</w:t>
      </w:r>
      <w:proofErr w:type="spellEnd"/>
      <w:r w:rsidR="00774CB8" w:rsidRPr="00163A52">
        <w:rPr>
          <w:rFonts w:ascii="Calibri" w:hAnsi="Calibri"/>
          <w:color w:val="000000"/>
          <w:sz w:val="22"/>
          <w:szCs w:val="22"/>
        </w:rPr>
        <w:t>-PPI.</w:t>
      </w:r>
      <w:r w:rsidR="005F6D19" w:rsidRPr="00163A52">
        <w:rPr>
          <w:rFonts w:ascii="Calibri" w:hAnsi="Calibri"/>
          <w:color w:val="000000"/>
          <w:sz w:val="22"/>
          <w:szCs w:val="22"/>
        </w:rPr>
        <w:fldChar w:fldCharType="begin" w:fldLock="1"/>
      </w:r>
      <w:r w:rsidR="004B6A5D">
        <w:rPr>
          <w:rFonts w:ascii="Calibri" w:hAnsi="Calibri"/>
          <w:color w:val="000000"/>
          <w:sz w:val="22"/>
          <w:szCs w:val="22"/>
        </w:rPr>
        <w:instrText>ADDIN CSL_CITATION { "citationItems" : [ { "id" : "ITEM-1", "itemData" : { "DOI" : "10.1093/bioinformatics/btt691", "ISSN" : "1367-4811", "PMID" : "24281696", "abstract" : "MOTIVATION: Mutations play fundamental roles in evolution by introducing diversity into genomes. Missense mutations in structural genes may become either selectively advantageous or disadvantageous to the organism by affecting protein stability and/or interfering with interactions between partners. Thus, the ability to predict the impact of mutations on protein stability and interactions is of significant value, particularly in understanding the effects of Mendelian and somatic mutations on the progression of disease. Here, we propose a novel approach to the study of missense mutations, called mCSM, which relies on graph-based signatures. These encode distance patterns between atoms and are used to represent the protein residue environment and to train predictive models. To understand the roles of mutations in disease, we have evaluated their impacts not only on protein stability but also on protein-protein and protein-nucleic acid interactions.\n\nRESULTS: We show that mCSM performs as well as or better than other methods that are used widely. The mCSM signatures were successfully used in different tasks demonstrating that the impact of a mutation can be correlated with the atomic-distance patterns surrounding an amino acid residue. We showed that mCSM can predict stability changes of a wide range of mutations occurring in the tumour suppressor protein p53, demonstrating the applicability of the proposed method in a challenging disease scenario.\n\nAVAILABILITY AND IMPLEMENTATION: A web server is available at http://structure.bioc.cam.ac.uk/mcsm.", "author" : [ { "dropping-particle" : "V", "family" : "Pires", "given" : "Douglas E", "non-dropping-particle" : "", "parse-names" : false, "suffix" : "" }, { "dropping-particle" : "", "family" : "Ascher", "given" : "David B", "non-dropping-particle" : "", "parse-names" : false, "suffix" : "" }, { "dropping-particle" : "", "family" : "Blundell", "given" : "Tom L", "non-dropping-particle" : "", "parse-names" : false, "suffix" : "" } ], "container-title" : "Bioinformatics (Oxford, England)", "id" : "ITEM-1", "issue" : "3", "issued" : { "date-parts" : [ [ "2014", "2", "1" ] ] }, "page" : "335-42", "title" : "mCSM: predicting the effects of mutations in proteins using graph-based signatures.", "type" : "article-journal", "volume" : "30" }, "uris" : [ "http://www.mendeley.com/documents/?uuid=48927659-2019-4163-9471-3097408447eb" ] } ], "mendeley" : { "formattedCitation" : "[7]", "plainTextFormattedCitation" : "[7]", "previouslyFormattedCitation" : "&lt;sup&gt;7&lt;/sup&gt;" }, "properties" : {  }, "schema" : "https://github.com/citation-style-language/schema/raw/master/csl-citation.json" }</w:instrText>
      </w:r>
      <w:r w:rsidR="005F6D19" w:rsidRPr="00163A52">
        <w:rPr>
          <w:rFonts w:ascii="Calibri" w:hAnsi="Calibri"/>
          <w:color w:val="000000"/>
          <w:sz w:val="22"/>
          <w:szCs w:val="22"/>
        </w:rPr>
        <w:fldChar w:fldCharType="separate"/>
      </w:r>
      <w:r w:rsidR="004B6A5D" w:rsidRPr="004B6A5D">
        <w:rPr>
          <w:rFonts w:ascii="Calibri" w:hAnsi="Calibri"/>
          <w:noProof/>
          <w:color w:val="000000"/>
          <w:sz w:val="22"/>
          <w:szCs w:val="22"/>
        </w:rPr>
        <w:t>[7]</w:t>
      </w:r>
      <w:r w:rsidR="005F6D19" w:rsidRPr="00163A52">
        <w:rPr>
          <w:rFonts w:ascii="Calibri" w:hAnsi="Calibri"/>
          <w:color w:val="000000"/>
          <w:sz w:val="22"/>
          <w:szCs w:val="22"/>
        </w:rPr>
        <w:fldChar w:fldCharType="end"/>
      </w:r>
    </w:p>
    <w:p w14:paraId="4C1583DE" w14:textId="4FA9D781" w:rsidR="002A6FCF" w:rsidRPr="00331061" w:rsidRDefault="002A6FCF" w:rsidP="00331061">
      <w:pPr>
        <w:pStyle w:val="Heading2"/>
        <w:spacing w:line="360" w:lineRule="auto"/>
        <w:rPr>
          <w:rFonts w:ascii="Calibri" w:hAnsi="Calibri"/>
          <w:color w:val="000000"/>
          <w:sz w:val="22"/>
          <w:szCs w:val="22"/>
        </w:rPr>
      </w:pPr>
      <w:r w:rsidRPr="00163A52">
        <w:br/>
      </w:r>
      <w:bookmarkStart w:id="3" w:name="_Toc368419626"/>
      <w:r w:rsidR="0070162E">
        <w:t>Retrospective cohort analysis</w:t>
      </w:r>
      <w:r w:rsidRPr="00163A52">
        <w:t xml:space="preserve"> statistical methods</w:t>
      </w:r>
      <w:bookmarkEnd w:id="3"/>
    </w:p>
    <w:p w14:paraId="4EB09434" w14:textId="77777777" w:rsidR="0070162E" w:rsidRPr="0070162E" w:rsidRDefault="0070162E" w:rsidP="0070162E">
      <w:pPr>
        <w:spacing w:line="360" w:lineRule="auto"/>
        <w:rPr>
          <w:rFonts w:ascii="Calibri" w:hAnsi="Calibri"/>
          <w:sz w:val="22"/>
          <w:szCs w:val="22"/>
        </w:rPr>
      </w:pPr>
      <w:r w:rsidRPr="0070162E">
        <w:rPr>
          <w:rFonts w:ascii="Calibri" w:hAnsi="Calibri"/>
          <w:sz w:val="22"/>
          <w:szCs w:val="22"/>
        </w:rPr>
        <w:t>Standard survival analysis methods assume that mutation carriers are ascertained at random with respect</w:t>
      </w:r>
    </w:p>
    <w:p w14:paraId="673279F6" w14:textId="77777777" w:rsidR="0070162E" w:rsidRPr="0070162E" w:rsidRDefault="0070162E" w:rsidP="0070162E">
      <w:pPr>
        <w:spacing w:line="360" w:lineRule="auto"/>
        <w:rPr>
          <w:rFonts w:ascii="Calibri" w:hAnsi="Calibri"/>
          <w:sz w:val="22"/>
          <w:szCs w:val="22"/>
        </w:rPr>
      </w:pPr>
      <w:r w:rsidRPr="0070162E">
        <w:rPr>
          <w:rFonts w:ascii="Calibri" w:hAnsi="Calibri"/>
          <w:sz w:val="22"/>
          <w:szCs w:val="22"/>
        </w:rPr>
        <w:t>to their disease status. In the present study, the first tested individual in a family is usually someone</w:t>
      </w:r>
    </w:p>
    <w:p w14:paraId="167DC1DD" w14:textId="77777777" w:rsidR="0070162E" w:rsidRPr="0070162E" w:rsidRDefault="0070162E" w:rsidP="0070162E">
      <w:pPr>
        <w:spacing w:line="360" w:lineRule="auto"/>
        <w:rPr>
          <w:rFonts w:ascii="Calibri" w:hAnsi="Calibri"/>
          <w:sz w:val="22"/>
          <w:szCs w:val="22"/>
        </w:rPr>
      </w:pPr>
      <w:r w:rsidRPr="0070162E">
        <w:rPr>
          <w:rFonts w:ascii="Calibri" w:hAnsi="Calibri"/>
          <w:sz w:val="22"/>
          <w:szCs w:val="22"/>
        </w:rPr>
        <w:t>diagnosed with the disease. Such study designs therefore tend to lead to an over-sampling of affected</w:t>
      </w:r>
    </w:p>
    <w:p w14:paraId="7182F98C" w14:textId="77777777" w:rsidR="0070162E" w:rsidRPr="0070162E" w:rsidRDefault="0070162E" w:rsidP="0070162E">
      <w:pPr>
        <w:spacing w:line="360" w:lineRule="auto"/>
        <w:rPr>
          <w:rFonts w:ascii="Calibri" w:hAnsi="Calibri"/>
          <w:sz w:val="22"/>
          <w:szCs w:val="22"/>
        </w:rPr>
      </w:pPr>
      <w:r w:rsidRPr="0070162E">
        <w:rPr>
          <w:rFonts w:ascii="Calibri" w:hAnsi="Calibri"/>
          <w:sz w:val="22"/>
          <w:szCs w:val="22"/>
        </w:rPr>
        <w:t>individuals, and standard analytical methods may lead to biased estimates of the risk ratios. To address this</w:t>
      </w:r>
    </w:p>
    <w:p w14:paraId="48AC6DE3" w14:textId="77777777" w:rsidR="0070162E" w:rsidRPr="0070162E" w:rsidRDefault="0070162E" w:rsidP="0070162E">
      <w:pPr>
        <w:spacing w:line="360" w:lineRule="auto"/>
        <w:rPr>
          <w:rFonts w:ascii="Calibri" w:hAnsi="Calibri"/>
          <w:sz w:val="22"/>
          <w:szCs w:val="22"/>
        </w:rPr>
      </w:pPr>
      <w:r w:rsidRPr="0070162E">
        <w:rPr>
          <w:rFonts w:ascii="Calibri" w:hAnsi="Calibri"/>
          <w:sz w:val="22"/>
          <w:szCs w:val="22"/>
        </w:rPr>
        <w:t>potential bias we repeated the analysis by modelling the retrospective likelihood of the observed mutation</w:t>
      </w:r>
    </w:p>
    <w:p w14:paraId="34B38B87" w14:textId="1A008B63" w:rsidR="0070162E" w:rsidRDefault="0070162E" w:rsidP="0070162E">
      <w:pPr>
        <w:spacing w:line="360" w:lineRule="auto"/>
        <w:rPr>
          <w:rFonts w:ascii="Calibri" w:hAnsi="Calibri"/>
          <w:sz w:val="22"/>
          <w:szCs w:val="22"/>
        </w:rPr>
      </w:pPr>
      <w:r w:rsidRPr="0070162E">
        <w:rPr>
          <w:rFonts w:ascii="Calibri" w:hAnsi="Calibri"/>
          <w:sz w:val="22"/>
          <w:szCs w:val="22"/>
        </w:rPr>
        <w:t>status conditional on the disease phenotypes.</w:t>
      </w:r>
    </w:p>
    <w:p w14:paraId="21F01A5A" w14:textId="77777777" w:rsidR="0070162E" w:rsidRDefault="0070162E" w:rsidP="0070162E">
      <w:pPr>
        <w:spacing w:line="360" w:lineRule="auto"/>
        <w:rPr>
          <w:rFonts w:ascii="Calibri" w:hAnsi="Calibri"/>
          <w:sz w:val="22"/>
          <w:szCs w:val="22"/>
        </w:rPr>
      </w:pPr>
    </w:p>
    <w:p w14:paraId="500490C3" w14:textId="4A81892D" w:rsidR="002A6FCF" w:rsidRPr="00331061" w:rsidRDefault="002A6FCF" w:rsidP="00331061">
      <w:pPr>
        <w:spacing w:line="360" w:lineRule="auto"/>
        <w:rPr>
          <w:rFonts w:ascii="Calibri" w:hAnsi="Calibri"/>
          <w:sz w:val="22"/>
          <w:szCs w:val="22"/>
        </w:rPr>
      </w:pPr>
      <w:r w:rsidRPr="00331061">
        <w:rPr>
          <w:rFonts w:ascii="Calibri" w:hAnsi="Calibri"/>
          <w:sz w:val="22"/>
          <w:szCs w:val="22"/>
        </w:rPr>
        <w:t xml:space="preserve">For each disease we considered the time to disease diagnosis for the disease of interest, independently of the other disease phenotypes. We assumed a censoring process where an individual was followed from birth until the age at disease diagnosis, age at death, age at last observation, or age 85-years, whichever occurred first. In instances of no available age information (125 of the </w:t>
      </w:r>
      <w:r w:rsidR="00B34B2E">
        <w:rPr>
          <w:rFonts w:ascii="Calibri" w:hAnsi="Calibri"/>
          <w:sz w:val="22"/>
          <w:szCs w:val="22"/>
        </w:rPr>
        <w:t xml:space="preserve">876 </w:t>
      </w:r>
      <w:r w:rsidRPr="00331061">
        <w:rPr>
          <w:rFonts w:ascii="Calibri" w:hAnsi="Calibri"/>
          <w:i/>
          <w:sz w:val="22"/>
          <w:szCs w:val="22"/>
        </w:rPr>
        <w:t>SDHB/C/D</w:t>
      </w:r>
      <w:r w:rsidRPr="00331061">
        <w:rPr>
          <w:rFonts w:ascii="Calibri" w:hAnsi="Calibri"/>
          <w:sz w:val="22"/>
          <w:szCs w:val="22"/>
        </w:rPr>
        <w:t xml:space="preserve"> mutation carriers), individuals were censored at age 0-years. Individuals that carried variants of unknown significance were treated as non-carriers for the purposes of these analyses.</w:t>
      </w:r>
    </w:p>
    <w:p w14:paraId="5A325E2F" w14:textId="77777777" w:rsidR="002A6FCF" w:rsidRPr="00331061" w:rsidRDefault="002A6FCF" w:rsidP="00331061">
      <w:pPr>
        <w:spacing w:line="360" w:lineRule="auto"/>
        <w:rPr>
          <w:rFonts w:ascii="Calibri" w:hAnsi="Calibri"/>
          <w:sz w:val="22"/>
          <w:szCs w:val="22"/>
        </w:rPr>
      </w:pPr>
    </w:p>
    <w:p w14:paraId="595406A4" w14:textId="5EF7CB50" w:rsidR="002A6FCF" w:rsidRPr="00331061" w:rsidRDefault="002A6FCF" w:rsidP="00331061">
      <w:pPr>
        <w:spacing w:line="360" w:lineRule="auto"/>
        <w:rPr>
          <w:rFonts w:ascii="Calibri" w:hAnsi="Calibri"/>
          <w:sz w:val="22"/>
          <w:szCs w:val="22"/>
        </w:rPr>
      </w:pPr>
      <w:r w:rsidRPr="00331061">
        <w:rPr>
          <w:rFonts w:ascii="Calibri" w:hAnsi="Calibri"/>
          <w:sz w:val="22"/>
          <w:szCs w:val="22"/>
        </w:rPr>
        <w:t xml:space="preserve">We used </w:t>
      </w:r>
      <w:r w:rsidR="0070162E">
        <w:rPr>
          <w:rFonts w:ascii="Calibri" w:hAnsi="Calibri"/>
          <w:sz w:val="22"/>
          <w:szCs w:val="22"/>
        </w:rPr>
        <w:t>retrospective cohort analysis</w:t>
      </w:r>
      <w:r w:rsidRPr="00331061">
        <w:rPr>
          <w:rFonts w:ascii="Calibri" w:hAnsi="Calibri"/>
          <w:sz w:val="22"/>
          <w:szCs w:val="22"/>
        </w:rPr>
        <w:t xml:space="preserve"> </w:t>
      </w:r>
      <w:r w:rsidR="00691D70">
        <w:rPr>
          <w:rFonts w:ascii="Calibri" w:hAnsi="Calibri"/>
          <w:sz w:val="22"/>
          <w:szCs w:val="22"/>
        </w:rPr>
        <w:t xml:space="preserve">approach </w:t>
      </w:r>
      <w:r w:rsidRPr="00331061">
        <w:rPr>
          <w:rFonts w:ascii="Calibri" w:hAnsi="Calibri"/>
          <w:sz w:val="22"/>
          <w:szCs w:val="22"/>
        </w:rPr>
        <w:t xml:space="preserve">to estimate the hazard ratios (HRs) separately for: (i) renal cell carcinoma (RCC); (ii) </w:t>
      </w:r>
      <w:proofErr w:type="spellStart"/>
      <w:r w:rsidRPr="00331061">
        <w:rPr>
          <w:rFonts w:ascii="Calibri" w:hAnsi="Calibri"/>
          <w:sz w:val="22"/>
          <w:szCs w:val="22"/>
        </w:rPr>
        <w:t>pheochromocytoma</w:t>
      </w:r>
      <w:proofErr w:type="spellEnd"/>
      <w:r w:rsidRPr="00331061">
        <w:rPr>
          <w:rFonts w:ascii="Calibri" w:hAnsi="Calibri"/>
          <w:sz w:val="22"/>
          <w:szCs w:val="22"/>
        </w:rPr>
        <w:t xml:space="preserve"> and extra-adrenal paraganglioma (PPGL); (iii) head and neck paraganglioma (HNPGL); (iv) PPGL or HNPGL; (v) tumour (RCC or PPGL or HNPGL); (vi) malignant PPGL or </w:t>
      </w:r>
      <w:r w:rsidRPr="00331061">
        <w:rPr>
          <w:rFonts w:ascii="Calibri" w:hAnsi="Calibri"/>
          <w:sz w:val="22"/>
          <w:szCs w:val="22"/>
        </w:rPr>
        <w:lastRenderedPageBreak/>
        <w:t xml:space="preserve">malignant HNPGL; and (vii) malignant tumour. We modelled the retrospective likelihood of observing genotypes conditional on the phenotypes of all individuals. These models were parameterised in terms of the log-HR and the gene mutation frequency was fixed. The </w:t>
      </w:r>
      <w:r w:rsidRPr="00331061">
        <w:rPr>
          <w:rFonts w:ascii="Calibri" w:hAnsi="Calibri"/>
          <w:i/>
          <w:sz w:val="22"/>
          <w:szCs w:val="22"/>
        </w:rPr>
        <w:t>SDHB</w:t>
      </w:r>
      <w:r w:rsidRPr="00331061">
        <w:rPr>
          <w:rFonts w:ascii="Calibri" w:hAnsi="Calibri"/>
          <w:sz w:val="22"/>
          <w:szCs w:val="22"/>
        </w:rPr>
        <w:t xml:space="preserve"> mutation frequency wa</w:t>
      </w:r>
      <w:r w:rsidR="00C114D8" w:rsidRPr="00331061">
        <w:rPr>
          <w:rFonts w:ascii="Calibri" w:hAnsi="Calibri"/>
          <w:sz w:val="22"/>
          <w:szCs w:val="22"/>
        </w:rPr>
        <w:t>s</w:t>
      </w:r>
      <w:r w:rsidRPr="00331061">
        <w:rPr>
          <w:rFonts w:ascii="Calibri" w:hAnsi="Calibri"/>
          <w:sz w:val="22"/>
          <w:szCs w:val="22"/>
        </w:rPr>
        <w:t xml:space="preserve"> obtained from the Exome Aggregation Consortium database</w:t>
      </w:r>
      <w:r w:rsidR="00C114D8" w:rsidRPr="00331061">
        <w:rPr>
          <w:rFonts w:ascii="Calibri" w:hAnsi="Calibri"/>
          <w:sz w:val="22"/>
          <w:szCs w:val="22"/>
        </w:rPr>
        <w:fldChar w:fldCharType="begin" w:fldLock="1"/>
      </w:r>
      <w:r w:rsidR="004B6A5D">
        <w:rPr>
          <w:rFonts w:ascii="Calibri" w:hAnsi="Calibri"/>
          <w:sz w:val="22"/>
          <w:szCs w:val="22"/>
        </w:rPr>
        <w:instrText>ADDIN CSL_CITATION { "citationItems" : [ { "id" : "ITEM-1", "itemData" : { "URL" : "http://exac.broadinstitute.org", "id" : "ITEM-1", "issued" : { "date-parts" : [ [ "0" ] ] }, "number" : "Date accessed: September, 2016", "title" : "Exome Aggregation Consortium (ExAC), Cambridge, MA", "type" : "webpage" }, "uris" : [ "http://www.mendeley.com/documents/?uuid=bfddc029-62dc-4295-ac6a-fb31f5ba5ce0" ] }, { "id" : "ITEM-2", "itemData" : { "DOI" : "10.1038/nature19057", "ISSN" : "0028-0836", "PMID" : "27535533", "abstract" : "Large-scale reference data sets of human genetic variation are critical for the medical and functional interpretation of DNA sequence changes. Here we describe the aggregation and analysis of high-quality exome (protein-coding region) DNA sequence data for 60,706 individuals of diverse ancestries generated as part of the Exome Aggregation Consortium (ExAC). This catalogue of human genetic diversity contains an average of one variant every eight bases of the exome, and provides direct evidence for the presence of widespread mutational recurrence. We have used this catalogue to calculate objective metrics of pathogenicity for sequence variants, and to identify genes subject to strong selection against various classes of mutation; identifying 3,230 genes with near-complete depletion of predicted protein-truncating variants, with 72% of these genes having no currently established human disease phenotype. Finally, we demonstrate that these data can be used for the efficient filtering of candidate disease-causing variants, and for the discovery of human 'knockout' variants in protein-coding genes.", "author" : [ { "dropping-particle" : "", "family" : "Lek", "given" : "Monkol", "non-dropping-particle" : "", "parse-names" : false, "suffix" : "" }, { "dropping-particle" : "", "family" : "Karczewski", "given" : "Konrad J.", "non-dropping-particle" : "", "parse-names" : false, "suffix" : "" }, { "dropping-particle" : "V.", "family" : "Minikel", "given" : "Eric", "non-dropping-particle" : "", "parse-names" : false, "suffix" : "" }, { "dropping-particle" : "", "family" : "Samocha", "given" : "Kaitlin E.", "non-dropping-particle" : "", "parse-names" : false, "suffix" : "" }, { "dropping-particle" : "", "family" : "Banks", "given" : "Eric", "non-dropping-particle" : "", "parse-names" : false, "suffix" : "" }, { "dropping-particle" : "", "family" : "Fennell", "given" : "Timothy", "non-dropping-particle" : "", "parse-names" : false, "suffix" : "" }, { "dropping-particle" : "", "family" : "O\u2019Donnell-Luria", "given" : "Anne H.", "non-dropping-particle" : "", "parse-names" : false, "suffix" : "" }, { "dropping-particle" : "", "family" : "Ware", "given" : "James S.", "non-dropping-particle" : "", "parse-names" : false, "suffix" : "" }, { "dropping-particle" : "", "family" : "Hill", "given" : "Andrew J.", "non-dropping-particle" : "", "parse-names" : false, "suffix" : "" }, { "dropping-particle" : "", "family" : "Cummings", "given" : "Beryl B.", "non-dropping-particle" : "", "parse-names" : false, "suffix" : "" }, { "dropping-particle" : "", "family" : "Tukiainen", "given" : "Taru", "non-dropping-particle" : "", "parse-names" : false, "suffix" : "" }, { "dropping-particle" : "", "family" : "Birnbaum", "given" : "Daniel P.", "non-dropping-particle" : "", "parse-names" : false, "suffix" : "" }, { "dropping-particle" : "", "family" : "Kosmicki", "given" : "Jack A.", "non-dropping-particle" : "", "parse-names" : false, "suffix" : "" }, { "dropping-particle" : "", "family" : "Duncan", "given" : "Laramie E.", "non-dropping-particle" : "", "parse-names" : false, "suffix" : "" }, { "dropping-particle" : "", "family" : "Estrada", "given" : "Karol", "non-dropping-particle" : "", "parse-names" : false, "suffix" : "" }, { "dropping-particle" : "", "family" : "Zhao", "given" : "Fengmei", "non-dropping-particle" : "", "parse-names" : false, "suffix" : "" }, { "dropping-particle" : "", "family" : "Zou", "given" : "James", "non-dropping-particle" : "", "parse-names" : false, "suffix" : "" }, { "dropping-particle" : "", "family" : "Pierce-Hoffman", "given" : "Emma", "non-dropping-particle" : "", "parse-names" : false, "suffix" : "" }, { "dropping-particle" : "", "family" : "Berghout", "given" : "Joanne", "non-dropping-particle" : "", "parse-names" : false, "suffix" : "" }, { "dropping-particle" : "", "family" : "Cooper", "given" : "David N.", "non-dropping-particle" : "", "parse-names" : false, "suffix" : "" }, { "dropping-particle" : "", "family" : "Deflaux", "given" : "Nicole", "non-dropping-particle" : "", "parse-names" : false, "suffix" : "" }, { "dropping-particle" : "", "family" : "DePristo", "given" : "Mark", "non-dropping-particle" : "", "parse-names" : false, "suffix" : "" }, { "dropping-particle" : "", "family" : "Do", "given" : "Ron", "non-dropping-particle" : "", "parse-names" : false, "suffix" : "" }, { "dropping-particle" : "", "family" : "Flannick", "given" : "Jason", "non-dropping-particle" : "", "parse-names" : false, "suffix" : "" }, { "dropping-particle" : "", "family" : "Fromer", "given" : "Menachem", "non-dropping-particle" : "", "parse-names" : false, "suffix" : "" }, { "dropping-particle" : "", "family" : "Gauthier", "given" : "Laura", "non-dropping-particle" : "", "parse-names" : false, "suffix" : "" }, { "dropping-particle" : "", "family" : "Goldstein", "given" : "Jackie", "non-dropping-particle" : "", "parse-names" : false, "suffix" : "" }, { "dropping-particle" : "", "family" : "Gupta", "given" : "Namrata", "non-dropping-particle" : "", "parse-names" : false, "suffix" : "" }, { "dropping-particle" : "", "family" : "Howrigan", "given" : "Daniel", "non-dropping-particle" : "", "parse-names" : false, "suffix" : "" }, { "dropping-particle" : "", "family" : "Kiezun", "given" : "Adam", "non-dropping-particle" : "", "parse-names" : false, "suffix" : "" }, { "dropping-particle" : "", "family" : "Kurki", "given" : "Mitja I.", "non-dropping-particle" : "", "parse-names" : false, "suffix" : "" }, { "dropping-particle" : "", "family" : "Moonshine", "given" : "Ami Levy", "non-dropping-particle" : "", "parse-names" : false, "suffix" : "" }, { "dropping-particle" : "", "family" : "Natarajan", "given" : "Pradeep", "non-dropping-particle" : "", "parse-names" : false, "suffix" : "" }, { "dropping-particle" : "", "family" : "Orozco", "given" : "Lorena", "non-dropping-particle" : "", "parse-names" : false, "suffix" : "" }, { "dropping-particle" : "", "family" : "Peloso", "given" : "Gina M.", "non-dropping-particle" : "", "parse-names" : false, "suffix" : "" }, { "dropping-particle" : "", "family" : "Poplin", "given" : "Ryan", "non-dropping-particle" : "", "parse-names" : false, "suffix" : "" }, { "dropping-particle" : "", "family" : "Rivas", "given" : "Manuel A.", "non-dropping-particle" : "", "parse-names" : false, "suffix" : "" }, { "dropping-particle" : "", "family" : "Ruano-Rubio", "given" : "Valentin", "non-dropping-particle" : "", "parse-names" : false, "suffix" : "" }, { "dropping-particle" : "", "family" : "Rose", "given" : "Samuel A.", "non-dropping-particle" : "", "parse-names" : false, "suffix" : "" }, { "dropping-particle" : "", "family" : "Ruderfer", "given" : "Douglas M.", "non-dropping-particle" : "", "parse-names" : false, "suffix" : "" }, { "dropping-particle" : "", "family" : "Shakir", "given" : "Khalid", "non-dropping-particle" : "", "parse-names" : false, "suffix" : "" }, { "dropping-particle" : "", "family" : "Stenson", "given" : "Peter D.", "non-dropping-particle" : "", "parse-names" : false, "suffix" : "" }, { "dropping-particle" : "", "family" : "Stevens", "given" : "Christine", "non-dropping-particle" : "", "parse-names" : false, "suffix" : "" }, { "dropping-particle" : "", "family" : "Thomas", "given" : "Brett P.", "non-dropping-particle" : "", "parse-names" : false, "suffix" : "" }, { "dropping-particle" : "", "family" : "Tiao", "given" : "Grace", "non-dropping-particle" : "", "parse-names" : false, "suffix" : "" }, { "dropping-particle" : "", "family" : "Tusie-Luna", "given" : "Maria T.", "non-dropping-particle" : "", "parse-names" : false, "suffix" : "" }, { "dropping-particle" : "", "family" : "Weisburd", "given" : "Ben", "non-dropping-particle" : "", "parse-names" : false, "suffix" : "" }, { "dropping-particle" : "", "family" : "Won", "given" : "Hong-Hee", "non-dropping-particle" : "", "parse-names" : false, "suffix" : "" }, { "dropping-particle" : "", "family" : "Yu", "given" : "Dongmei", "non-dropping-particle" : "", "parse-names" : false, "suffix" : "" }, { "dropping-particle" : "", "family" : "Altshuler", "given" : "David M.", "non-dropping-particle" : "", "parse-names" : false, "suffix" : "" }, { "dropping-particle" : "", "family" : "Ardissino", "given" : "Diego", "non-dropping-particle" : "", "parse-names" : false, "suffix" : "" }, { "dropping-particle" : "", "family" : "Boehnke", "given" : "Michael", "non-dropping-particle" : "", "parse-names" : false, "suffix" : "" }, { "dropping-particle" : "", "family" : "Danesh", "given" : "John", "non-dropping-particle" : "", "parse-names" : false, "suffix" : "" }, { "dropping-particle" : "", "family" : "Donnelly", "given" : "Stacey", "non-dropping-particle" : "", "parse-names" : false, "suffix" : "" }, { "dropping-particle" : "", "family" : "Elosua", "given" : "Roberto", "non-dropping-particle" : "", "parse-names" : false, "suffix" : "" }, { "dropping-particle" : "", "family" : "Florez", "given" : "Jose C.", "non-dropping-particle" : "", "parse-names" : false, "suffix" : "" }, { "dropping-particle" : "", "family" : "Gabriel", "given" : "Stacey B.", "non-dropping-particle" : "", "parse-names" : false, "suffix" : "" }, { "dropping-particle" : "", "family" : "Getz", "given" : "Gad", "non-dropping-particle" : "", "parse-names" : false, "suffix" : "" }, { "dropping-particle" : "", "family" : "Glatt", "given" : "Stephen J.", "non-dropping-particle" : "", "parse-names" : false, "suffix" : "" }, { "dropping-particle" : "", "family" : "Hultman", "given" : "Christina M.", "non-dropping-particle" : "", "parse-names" : false, "suffix" : "" }, { "dropping-particle" : "", "family" : "Kathiresan", "given" : "Sekar", "non-dropping-particle" : "", "parse-names" : false, "suffix" : "" }, { "dropping-particle" : "", "family" : "Laakso", "given" : "Markku", "non-dropping-particle" : "", "parse-names" : false, "suffix" : "" }, { "dropping-particle" : "", "family" : "McCarroll", "given" : "Steven", "non-dropping-particle" : "", "parse-names" : false, "suffix" : "" }, { "dropping-particle" : "", "family" : "McCarthy", "given" : "Mark I.", "non-dropping-particle" : "", "parse-names" : false, "suffix" : "" }, { "dropping-particle" : "", "family" : "McGovern", "given" : "Dermot", "non-dropping-particle" : "", "parse-names" : false, "suffix" : "" }, { "dropping-particle" : "", "family" : "McPherson", "given" : "Ruth", "non-dropping-particle" : "", "parse-names" : false, "suffix" : "" }, { "dropping-particle" : "", "family" : "Neale", "given" : "Benjamin M.", "non-dropping-particle" : "", "parse-names" : false, "suffix" : "" }, { "dropping-particle" : "", "family" : "Palotie", "given" : "Aarno", "non-dropping-particle" : "", "parse-names" : false, "suffix" : "" }, { "dropping-particle" : "", "family" : "Purcell", "given" : "Shaun M.", "non-dropping-particle" : "", "parse-names" : false, "suffix" : "" }, { "dropping-particle" : "", "family" : "Saleheen", "given" : "Danish", "non-dropping-particle" : "", "parse-names" : false, "suffix" : "" }, { "dropping-particle" : "", "family" : "Scharf", "given" : "Jeremiah M.", "non-dropping-particle" : "", "parse-names" : false, "suffix" : "" }, { "dropping-particle" : "", "family" : "Sklar", "given" : "Pamela", "non-dropping-particle" : "", "parse-names" : false, "suffix" : "" }, { "dropping-particle" : "", "family" : "Sullivan", "given" : "Patrick F.", "non-dropping-particle" : "", "parse-names" : false, "suffix" : "" }, { "dropping-particle" : "", "family" : "Tuomilehto", "given" : "Jaakko", "non-dropping-particle" : "", "parse-names" : false, "suffix" : "" }, { "dropping-particle" : "", "family" : "Tsuang", "given" : "Ming T.", "non-dropping-particle" : "", "parse-names" : false, "suffix" : "" }, { "dropping-particle" : "", "family" : "Watkins", "given" : "Hugh C.", "non-dropping-particle" : "", "parse-names" : false, "suffix" : "" }, { "dropping-particle" : "", "family" : "Wilson", "given" : "James G.", "non-dropping-particle" : "", "parse-names" : false, "suffix" : "" }, { "dropping-particle" : "", "family" : "Daly", "given" : "Mark J.", "non-dropping-particle" : "", "parse-names" : false, "suffix" : "" }, { "dropping-particle" : "", "family" : "MacArthur", "given" : "Daniel G.", "non-dropping-particle" : "", "parse-names" : false, "suffix" : "" }, { "dropping-particle" : "", "family" : "Exome Aggregation Consortium", "given" : "", "non-dropping-particle" : "", "parse-names" : false, "suffix" : "" } ], "container-title" : "Nature", "id" : "ITEM-2", "issue" : "7616", "issued" : { "date-parts" : [ [ "2016", "8", "17" ] ] }, "page" : "285-291", "title" : "Analysis of protein-coding genetic variation in 60,706 humans", "type" : "article-journal", "volume" : "536" }, "uris" : [ "http://www.mendeley.com/documents/?uuid=9b8f521b-7a52-3f11-9f85-2f0a23c0821a" ] } ], "mendeley" : { "formattedCitation" : "[8, 9]", "plainTextFormattedCitation" : "[8, 9]", "previouslyFormattedCitation" : "&lt;sup&gt;8,9&lt;/sup&gt;" }, "properties" : {  }, "schema" : "https://github.com/citation-style-language/schema/raw/master/csl-citation.json" }</w:instrText>
      </w:r>
      <w:r w:rsidR="00C114D8" w:rsidRPr="00331061">
        <w:rPr>
          <w:rFonts w:ascii="Calibri" w:hAnsi="Calibri"/>
          <w:sz w:val="22"/>
          <w:szCs w:val="22"/>
        </w:rPr>
        <w:fldChar w:fldCharType="separate"/>
      </w:r>
      <w:r w:rsidR="004B6A5D" w:rsidRPr="004B6A5D">
        <w:rPr>
          <w:rFonts w:ascii="Calibri" w:hAnsi="Calibri"/>
          <w:noProof/>
          <w:sz w:val="22"/>
          <w:szCs w:val="22"/>
        </w:rPr>
        <w:t>[8, 9]</w:t>
      </w:r>
      <w:r w:rsidR="00C114D8" w:rsidRPr="00331061">
        <w:rPr>
          <w:rFonts w:ascii="Calibri" w:hAnsi="Calibri"/>
          <w:sz w:val="22"/>
          <w:szCs w:val="22"/>
        </w:rPr>
        <w:fldChar w:fldCharType="end"/>
      </w:r>
      <w:r w:rsidRPr="00331061">
        <w:rPr>
          <w:rFonts w:ascii="Calibri" w:hAnsi="Calibri"/>
          <w:sz w:val="22"/>
          <w:szCs w:val="22"/>
        </w:rPr>
        <w:t>. The disease incidences were constrained over all genetic effects to agree with the assumed population disease incidences. The sex-specific RCC disease incidences were obtained from Cancer Research UK</w:t>
      </w:r>
      <w:r w:rsidR="00C114D8" w:rsidRPr="00331061">
        <w:rPr>
          <w:rFonts w:ascii="Calibri" w:hAnsi="Calibri"/>
          <w:sz w:val="22"/>
          <w:szCs w:val="22"/>
        </w:rPr>
        <w:fldChar w:fldCharType="begin" w:fldLock="1"/>
      </w:r>
      <w:r w:rsidR="004B6A5D">
        <w:rPr>
          <w:rFonts w:ascii="Calibri" w:hAnsi="Calibri"/>
          <w:sz w:val="22"/>
          <w:szCs w:val="22"/>
        </w:rPr>
        <w:instrText>ADDIN CSL_CITATION { "citationItems" : [ { "id" : "ITEM-1", "itemData" : { "URL" : "http://www.cancerresearchuk.org/", "accessed" : { "date-parts" : [ [ "2016", "9", "4" ] ] }, "id" : "ITEM-1", "issued" : { "date-parts" : [ [ "0" ] ] }, "title" : "Cancer Research UK", "type" : "webpage" }, "uris" : [ "http://www.mendeley.com/documents/?uuid=a111f95c-dce2-328d-90cf-64c0c46617a1" ] } ], "mendeley" : { "formattedCitation" : "[10]", "plainTextFormattedCitation" : "[10]", "previouslyFormattedCitation" : "&lt;sup&gt;10&lt;/sup&gt;" }, "properties" : {  }, "schema" : "https://github.com/citation-style-language/schema/raw/master/csl-citation.json" }</w:instrText>
      </w:r>
      <w:r w:rsidR="00C114D8" w:rsidRPr="00331061">
        <w:rPr>
          <w:rFonts w:ascii="Calibri" w:hAnsi="Calibri"/>
          <w:sz w:val="22"/>
          <w:szCs w:val="22"/>
        </w:rPr>
        <w:fldChar w:fldCharType="separate"/>
      </w:r>
      <w:r w:rsidR="004B6A5D" w:rsidRPr="004B6A5D">
        <w:rPr>
          <w:rFonts w:ascii="Calibri" w:hAnsi="Calibri"/>
          <w:noProof/>
          <w:sz w:val="22"/>
          <w:szCs w:val="22"/>
        </w:rPr>
        <w:t>[10]</w:t>
      </w:r>
      <w:r w:rsidR="00C114D8" w:rsidRPr="00331061">
        <w:rPr>
          <w:rFonts w:ascii="Calibri" w:hAnsi="Calibri"/>
          <w:sz w:val="22"/>
          <w:szCs w:val="22"/>
        </w:rPr>
        <w:fldChar w:fldCharType="end"/>
      </w:r>
      <w:r w:rsidR="00C114D8" w:rsidRPr="00331061">
        <w:rPr>
          <w:rFonts w:ascii="Calibri" w:hAnsi="Calibri"/>
          <w:sz w:val="22"/>
          <w:szCs w:val="22"/>
        </w:rPr>
        <w:t>. We assumed PPGL</w:t>
      </w:r>
      <w:r w:rsidRPr="00331061">
        <w:rPr>
          <w:rFonts w:ascii="Calibri" w:hAnsi="Calibri"/>
          <w:sz w:val="22"/>
          <w:szCs w:val="22"/>
        </w:rPr>
        <w:t xml:space="preserve"> and HNPGL had an incidence of 1 per 100,000 for each age from birth. Malignant disease was assumed to account for 10% of the total disease incidence. Parameters were estimated by maximum likelihood estimation. All segregation analyses were performed using pedigree analysis software MENDEL</w:t>
      </w:r>
      <w:r w:rsidR="00163A52" w:rsidRPr="00331061">
        <w:rPr>
          <w:rFonts w:ascii="Calibri" w:hAnsi="Calibri"/>
          <w:sz w:val="22"/>
          <w:szCs w:val="22"/>
        </w:rPr>
        <w:t>.</w:t>
      </w:r>
      <w:r w:rsidR="00163A52" w:rsidRPr="00331061">
        <w:rPr>
          <w:rFonts w:ascii="Calibri" w:hAnsi="Calibri"/>
          <w:sz w:val="22"/>
          <w:szCs w:val="22"/>
        </w:rPr>
        <w:fldChar w:fldCharType="begin" w:fldLock="1"/>
      </w:r>
      <w:r w:rsidR="004B6A5D">
        <w:rPr>
          <w:rFonts w:ascii="Calibri" w:hAnsi="Calibri"/>
          <w:sz w:val="22"/>
          <w:szCs w:val="22"/>
        </w:rPr>
        <w:instrText>ADDIN CSL_CITATION { "citationItems" : [ { "id" : "ITEM-1", "itemData" : { "DOI" : "10.1002/gepi.1370050611", "ISSN" : "07410395", "PMID" : "3061869", "author" : [ { "dropping-particle" : "", "family" : "Lange", "given" : "Kenneth", "non-dropping-particle" : "", "parse-names" : false, "suffix" : "" }, { "dropping-particle" : "", "family" : "Weeks", "given" : "Daniel", "non-dropping-particle" : "", "parse-names" : false, "suffix" : "" }, { "dropping-particle" : "", "family" : "Boehnke", "given" : "Michael", "non-dropping-particle" : "", "parse-names" : false, "suffix" : "" }, { "dropping-particle" : "", "family" : "MacCluer", "given" : "Jean. W.", "non-dropping-particle" : "", "parse-names" : false, "suffix" : "" }, { "dropping-particle" : "", "family" : "MacCluer", "given" : "Jean. W.", "non-dropping-particle" : "", "parse-names" : false, "suffix" : "" } ], "container-title" : "Genetic Epidemiology", "id" : "ITEM-1", "issue" : "6", "issued" : { "date-parts" : [ [ "1988" ] ] }, "page" : "471-472", "title" : "Programs for pedigree analysis: Mendel, Fisher, and dGene", "type" : "article-journal", "volume" : "5" }, "uris" : [ "http://www.mendeley.com/documents/?uuid=e2888483-176c-3d0e-8dd5-4f003e735e97" ] } ], "mendeley" : { "formattedCitation" : "[11]", "plainTextFormattedCitation" : "[11]", "previouslyFormattedCitation" : "&lt;sup&gt;11&lt;/sup&gt;" }, "properties" : {  }, "schema" : "https://github.com/citation-style-language/schema/raw/master/csl-citation.json" }</w:instrText>
      </w:r>
      <w:r w:rsidR="00163A52" w:rsidRPr="00331061">
        <w:rPr>
          <w:rFonts w:ascii="Calibri" w:hAnsi="Calibri"/>
          <w:sz w:val="22"/>
          <w:szCs w:val="22"/>
        </w:rPr>
        <w:fldChar w:fldCharType="separate"/>
      </w:r>
      <w:r w:rsidR="004B6A5D" w:rsidRPr="004B6A5D">
        <w:rPr>
          <w:rFonts w:ascii="Calibri" w:hAnsi="Calibri"/>
          <w:noProof/>
          <w:sz w:val="22"/>
          <w:szCs w:val="22"/>
        </w:rPr>
        <w:t>[11]</w:t>
      </w:r>
      <w:r w:rsidR="00163A52" w:rsidRPr="00331061">
        <w:rPr>
          <w:rFonts w:ascii="Calibri" w:hAnsi="Calibri"/>
          <w:sz w:val="22"/>
          <w:szCs w:val="22"/>
        </w:rPr>
        <w:fldChar w:fldCharType="end"/>
      </w:r>
    </w:p>
    <w:p w14:paraId="078FAC0E" w14:textId="77777777" w:rsidR="002A6FCF" w:rsidRPr="00331061" w:rsidRDefault="002A6FCF" w:rsidP="00331061">
      <w:pPr>
        <w:spacing w:line="360" w:lineRule="auto"/>
        <w:rPr>
          <w:rFonts w:ascii="Calibri" w:hAnsi="Calibri"/>
          <w:sz w:val="22"/>
          <w:szCs w:val="22"/>
        </w:rPr>
      </w:pPr>
    </w:p>
    <w:p w14:paraId="2DC84CD6" w14:textId="77777777" w:rsidR="002A6FCF" w:rsidRPr="00331061" w:rsidRDefault="002A6FCF" w:rsidP="00331061">
      <w:pPr>
        <w:spacing w:line="360" w:lineRule="auto"/>
        <w:rPr>
          <w:rFonts w:ascii="Calibri" w:hAnsi="Calibri"/>
          <w:sz w:val="22"/>
          <w:szCs w:val="22"/>
        </w:rPr>
      </w:pPr>
      <w:r w:rsidRPr="00331061">
        <w:rPr>
          <w:rFonts w:ascii="Calibri" w:hAnsi="Calibri"/>
          <w:sz w:val="22"/>
          <w:szCs w:val="22"/>
        </w:rPr>
        <w:t>We tested whether assumptions regarding the gene mutation frequency and the disease incidences impacted on the results by halving and doubling the assumed values. We also investigated alternative censoring processes to ensure the results obtained by using the censoring process described above (that was designed to yield the maximum number of disease cases for each analysis) agreed with other possible approaches. Results were not sensitive to assumptions on the adopted censoring process, gene mutation frequency or disease incidences.</w:t>
      </w:r>
    </w:p>
    <w:p w14:paraId="7838669C" w14:textId="77777777" w:rsidR="002A6FCF" w:rsidRPr="00331061" w:rsidRDefault="002A6FCF" w:rsidP="00331061">
      <w:pPr>
        <w:spacing w:line="360" w:lineRule="auto"/>
        <w:rPr>
          <w:rFonts w:ascii="Calibri" w:hAnsi="Calibri"/>
          <w:sz w:val="22"/>
          <w:szCs w:val="22"/>
        </w:rPr>
      </w:pPr>
    </w:p>
    <w:p w14:paraId="26C569B5" w14:textId="77777777" w:rsidR="002A6FCF" w:rsidRPr="00331061" w:rsidRDefault="002A6FCF" w:rsidP="00331061">
      <w:pPr>
        <w:spacing w:line="360" w:lineRule="auto"/>
        <w:rPr>
          <w:rFonts w:ascii="Calibri" w:hAnsi="Calibri"/>
          <w:sz w:val="22"/>
          <w:szCs w:val="22"/>
        </w:rPr>
      </w:pPr>
      <w:r w:rsidRPr="00331061">
        <w:rPr>
          <w:rFonts w:ascii="Calibri" w:hAnsi="Calibri"/>
          <w:sz w:val="22"/>
          <w:szCs w:val="22"/>
        </w:rPr>
        <w:t>Absolute risks were calculated using assumed disease incidences and the estimated log-HR. The absolute risks were calculated as:</w:t>
      </w:r>
    </w:p>
    <w:p w14:paraId="7E75021E" w14:textId="77777777" w:rsidR="002A6FCF" w:rsidRPr="00331061" w:rsidRDefault="002A6FCF" w:rsidP="00331061">
      <w:pPr>
        <w:spacing w:line="360" w:lineRule="auto"/>
        <w:rPr>
          <w:rFonts w:ascii="Calibri" w:hAnsi="Calibri"/>
          <w:sz w:val="22"/>
          <w:szCs w:val="22"/>
        </w:rPr>
      </w:pPr>
      <w:r w:rsidRPr="00331061">
        <w:rPr>
          <w:rFonts w:ascii="Calibri" w:hAnsi="Calibri"/>
          <w:sz w:val="22"/>
          <w:szCs w:val="22"/>
        </w:rPr>
        <w:tab/>
        <w:t xml:space="preserve">R = 1 - </w:t>
      </w:r>
      <w:proofErr w:type="spellStart"/>
      <w:r w:rsidRPr="00331061">
        <w:rPr>
          <w:rFonts w:ascii="Calibri" w:hAnsi="Calibri"/>
          <w:sz w:val="22"/>
          <w:szCs w:val="22"/>
        </w:rPr>
        <w:t>exp</w:t>
      </w:r>
      <w:proofErr w:type="spellEnd"/>
      <w:r w:rsidRPr="00331061">
        <w:rPr>
          <w:rFonts w:ascii="Calibri" w:hAnsi="Calibri"/>
          <w:sz w:val="22"/>
          <w:szCs w:val="22"/>
        </w:rPr>
        <w:t>[-Λ</w:t>
      </w:r>
      <w:r w:rsidRPr="00331061">
        <w:rPr>
          <w:rFonts w:ascii="Calibri" w:hAnsi="Calibri"/>
          <w:sz w:val="22"/>
          <w:szCs w:val="22"/>
          <w:vertAlign w:val="subscript"/>
        </w:rPr>
        <w:t>0</w:t>
      </w:r>
      <w:r w:rsidRPr="00331061">
        <w:rPr>
          <w:rFonts w:ascii="Calibri" w:hAnsi="Calibri"/>
          <w:sz w:val="22"/>
          <w:szCs w:val="22"/>
        </w:rPr>
        <w:t>(</w:t>
      </w:r>
      <w:r w:rsidRPr="00331061">
        <w:rPr>
          <w:rFonts w:ascii="Calibri" w:hAnsi="Calibri"/>
          <w:i/>
          <w:sz w:val="22"/>
          <w:szCs w:val="22"/>
        </w:rPr>
        <w:t>t</w:t>
      </w:r>
      <w:r w:rsidRPr="00331061">
        <w:rPr>
          <w:rFonts w:ascii="Calibri" w:hAnsi="Calibri"/>
          <w:sz w:val="22"/>
          <w:szCs w:val="22"/>
        </w:rPr>
        <w:t>)</w:t>
      </w:r>
      <w:proofErr w:type="spellStart"/>
      <w:r w:rsidRPr="00331061">
        <w:rPr>
          <w:rFonts w:ascii="Calibri" w:hAnsi="Calibri"/>
          <w:sz w:val="22"/>
          <w:szCs w:val="22"/>
        </w:rPr>
        <w:t>exp</w:t>
      </w:r>
      <w:proofErr w:type="spellEnd"/>
      <w:r w:rsidRPr="00331061">
        <w:rPr>
          <w:rFonts w:ascii="Calibri" w:hAnsi="Calibri"/>
          <w:sz w:val="22"/>
          <w:szCs w:val="22"/>
        </w:rPr>
        <w:t>{β}]</w:t>
      </w:r>
    </w:p>
    <w:p w14:paraId="69DF3008" w14:textId="181F2531" w:rsidR="002A6FCF" w:rsidRPr="00331061" w:rsidRDefault="002A6FCF" w:rsidP="00331061">
      <w:pPr>
        <w:spacing w:line="360" w:lineRule="auto"/>
        <w:rPr>
          <w:rFonts w:ascii="Calibri" w:hAnsi="Calibri"/>
          <w:sz w:val="22"/>
          <w:szCs w:val="22"/>
        </w:rPr>
      </w:pPr>
      <w:r w:rsidRPr="00331061">
        <w:rPr>
          <w:rFonts w:ascii="Calibri" w:hAnsi="Calibri"/>
          <w:sz w:val="22"/>
          <w:szCs w:val="22"/>
        </w:rPr>
        <w:t>where Λ</w:t>
      </w:r>
      <w:r w:rsidRPr="00331061">
        <w:rPr>
          <w:rFonts w:ascii="Calibri" w:hAnsi="Calibri"/>
          <w:sz w:val="22"/>
          <w:szCs w:val="22"/>
          <w:vertAlign w:val="subscript"/>
        </w:rPr>
        <w:t>0</w:t>
      </w:r>
      <w:r w:rsidRPr="00331061">
        <w:rPr>
          <w:rFonts w:ascii="Calibri" w:hAnsi="Calibri"/>
          <w:sz w:val="22"/>
          <w:szCs w:val="22"/>
        </w:rPr>
        <w:t>(</w:t>
      </w:r>
      <w:r w:rsidRPr="00331061">
        <w:rPr>
          <w:rFonts w:ascii="Calibri" w:hAnsi="Calibri"/>
          <w:i/>
          <w:sz w:val="22"/>
          <w:szCs w:val="22"/>
        </w:rPr>
        <w:t>t</w:t>
      </w:r>
      <w:r w:rsidRPr="00331061">
        <w:rPr>
          <w:rFonts w:ascii="Calibri" w:hAnsi="Calibri"/>
          <w:sz w:val="22"/>
          <w:szCs w:val="22"/>
        </w:rPr>
        <w:t xml:space="preserve">) is the cumulative disease incidence up to age </w:t>
      </w:r>
      <w:r w:rsidRPr="00331061">
        <w:rPr>
          <w:rFonts w:ascii="Calibri" w:hAnsi="Calibri"/>
          <w:i/>
          <w:sz w:val="22"/>
          <w:szCs w:val="22"/>
        </w:rPr>
        <w:t>t</w:t>
      </w:r>
      <w:r w:rsidRPr="00331061">
        <w:rPr>
          <w:rFonts w:ascii="Calibri" w:hAnsi="Calibri"/>
          <w:sz w:val="22"/>
          <w:szCs w:val="22"/>
        </w:rPr>
        <w:t xml:space="preserve"> and β is the estimated log-HR. Absolute risks calculated by this method for composite diseases (e.g. tumour being the composite of other sub-disease phenotypes) can be inflated by scenarios where the gene mutation has a relatively small influence on disease risk compared to the other disease(s), but its incidence is much larger. For example, </w:t>
      </w:r>
      <w:r w:rsidRPr="00331061">
        <w:rPr>
          <w:rFonts w:ascii="Calibri" w:hAnsi="Calibri"/>
          <w:i/>
          <w:sz w:val="22"/>
          <w:szCs w:val="22"/>
        </w:rPr>
        <w:t>SDHB</w:t>
      </w:r>
      <w:r w:rsidRPr="00331061">
        <w:rPr>
          <w:rFonts w:ascii="Calibri" w:hAnsi="Calibri"/>
          <w:sz w:val="22"/>
          <w:szCs w:val="22"/>
        </w:rPr>
        <w:t xml:space="preserve"> has a small effect on RCC compared to the other diseases of interest, and the RCC incidence rates are much larger than the assumed incidences of </w:t>
      </w:r>
      <w:r w:rsidR="00C114D8" w:rsidRPr="00331061">
        <w:rPr>
          <w:rFonts w:ascii="Calibri" w:hAnsi="Calibri"/>
          <w:sz w:val="22"/>
          <w:szCs w:val="22"/>
        </w:rPr>
        <w:t>PPGL</w:t>
      </w:r>
      <w:r w:rsidRPr="00331061">
        <w:rPr>
          <w:rFonts w:ascii="Calibri" w:hAnsi="Calibri"/>
          <w:sz w:val="22"/>
          <w:szCs w:val="22"/>
        </w:rPr>
        <w:t xml:space="preserve"> or HNPGL. In this situation the large composite HR is driven by </w:t>
      </w:r>
      <w:r w:rsidR="00C114D8" w:rsidRPr="00331061">
        <w:rPr>
          <w:rFonts w:ascii="Calibri" w:hAnsi="Calibri"/>
          <w:sz w:val="22"/>
          <w:szCs w:val="22"/>
        </w:rPr>
        <w:t>PPGL</w:t>
      </w:r>
      <w:r w:rsidRPr="00331061">
        <w:rPr>
          <w:rFonts w:ascii="Calibri" w:hAnsi="Calibri"/>
          <w:sz w:val="22"/>
          <w:szCs w:val="22"/>
        </w:rPr>
        <w:t xml:space="preserve"> and HNPGL (not RCC), but the composite disease incidence is inflated by inclusion of the RCC incidences, hence the absolute risks for this composite disease will be inflated. Therefore, we also estimated the absolute risks using a probabilistic approach that assumes independence between diseases comprising the composite disease. This probabilistic absolute risk was calculated by:</w:t>
      </w:r>
    </w:p>
    <w:p w14:paraId="32429BEB" w14:textId="77777777" w:rsidR="002A6FCF" w:rsidRPr="00331061" w:rsidRDefault="002A6FCF" w:rsidP="00331061">
      <w:pPr>
        <w:spacing w:line="360" w:lineRule="auto"/>
        <w:rPr>
          <w:rFonts w:ascii="Calibri" w:hAnsi="Calibri"/>
          <w:sz w:val="22"/>
          <w:szCs w:val="22"/>
        </w:rPr>
      </w:pPr>
      <w:r w:rsidRPr="00331061">
        <w:rPr>
          <w:rFonts w:ascii="Calibri" w:hAnsi="Calibri"/>
          <w:sz w:val="22"/>
          <w:szCs w:val="22"/>
        </w:rPr>
        <w:tab/>
        <w:t>P = 1 - Π(1-R</w:t>
      </w:r>
      <w:r w:rsidRPr="00331061">
        <w:rPr>
          <w:rFonts w:ascii="Calibri" w:hAnsi="Calibri"/>
          <w:i/>
          <w:sz w:val="22"/>
          <w:szCs w:val="22"/>
          <w:vertAlign w:val="subscript"/>
        </w:rPr>
        <w:t>i</w:t>
      </w:r>
      <w:r w:rsidRPr="00331061">
        <w:rPr>
          <w:rFonts w:ascii="Calibri" w:hAnsi="Calibri"/>
          <w:sz w:val="22"/>
          <w:szCs w:val="22"/>
        </w:rPr>
        <w:t>)</w:t>
      </w:r>
    </w:p>
    <w:p w14:paraId="40644742" w14:textId="77777777" w:rsidR="002A6FCF" w:rsidRPr="00331061" w:rsidRDefault="002A6FCF" w:rsidP="00331061">
      <w:pPr>
        <w:spacing w:line="360" w:lineRule="auto"/>
        <w:rPr>
          <w:rFonts w:ascii="Calibri" w:hAnsi="Calibri"/>
          <w:sz w:val="22"/>
          <w:szCs w:val="22"/>
        </w:rPr>
      </w:pPr>
      <w:r w:rsidRPr="00331061">
        <w:rPr>
          <w:rFonts w:ascii="Calibri" w:hAnsi="Calibri"/>
          <w:sz w:val="22"/>
          <w:szCs w:val="22"/>
        </w:rPr>
        <w:t xml:space="preserve">where </w:t>
      </w:r>
      <w:proofErr w:type="spellStart"/>
      <w:r w:rsidRPr="00331061">
        <w:rPr>
          <w:rFonts w:ascii="Calibri" w:hAnsi="Calibri"/>
          <w:sz w:val="22"/>
          <w:szCs w:val="22"/>
        </w:rPr>
        <w:t>R</w:t>
      </w:r>
      <w:r w:rsidRPr="00331061">
        <w:rPr>
          <w:rFonts w:ascii="Calibri" w:hAnsi="Calibri"/>
          <w:i/>
          <w:sz w:val="22"/>
          <w:szCs w:val="22"/>
          <w:vertAlign w:val="subscript"/>
        </w:rPr>
        <w:t>i</w:t>
      </w:r>
      <w:proofErr w:type="spellEnd"/>
      <w:r w:rsidRPr="00331061">
        <w:rPr>
          <w:rFonts w:ascii="Calibri" w:hAnsi="Calibri"/>
          <w:sz w:val="22"/>
          <w:szCs w:val="22"/>
        </w:rPr>
        <w:t xml:space="preserve"> is the estimated absolute risk using the previous method for disease </w:t>
      </w:r>
      <w:r w:rsidRPr="00331061">
        <w:rPr>
          <w:rFonts w:ascii="Calibri" w:hAnsi="Calibri"/>
          <w:i/>
          <w:sz w:val="22"/>
          <w:szCs w:val="22"/>
        </w:rPr>
        <w:t>i</w:t>
      </w:r>
      <w:r w:rsidRPr="00331061">
        <w:rPr>
          <w:rFonts w:ascii="Calibri" w:hAnsi="Calibri"/>
          <w:sz w:val="22"/>
          <w:szCs w:val="22"/>
        </w:rPr>
        <w:t>.</w:t>
      </w:r>
    </w:p>
    <w:p w14:paraId="620E945A" w14:textId="77777777" w:rsidR="002A6FCF" w:rsidRPr="00331061" w:rsidRDefault="002A6FCF" w:rsidP="00331061">
      <w:pPr>
        <w:spacing w:line="360" w:lineRule="auto"/>
        <w:rPr>
          <w:rFonts w:ascii="Calibri" w:hAnsi="Calibri"/>
          <w:sz w:val="22"/>
          <w:szCs w:val="22"/>
          <w:highlight w:val="yellow"/>
        </w:rPr>
      </w:pPr>
    </w:p>
    <w:p w14:paraId="645E37AE" w14:textId="77777777" w:rsidR="002A6FCF" w:rsidRPr="00331061" w:rsidRDefault="002A6FCF" w:rsidP="00331061">
      <w:pPr>
        <w:spacing w:line="360" w:lineRule="auto"/>
        <w:rPr>
          <w:rFonts w:ascii="Calibri" w:hAnsi="Calibri"/>
          <w:sz w:val="22"/>
          <w:szCs w:val="22"/>
        </w:rPr>
      </w:pPr>
      <w:r w:rsidRPr="00331061">
        <w:rPr>
          <w:rFonts w:ascii="Calibri" w:hAnsi="Calibri"/>
          <w:sz w:val="22"/>
          <w:szCs w:val="22"/>
        </w:rPr>
        <w:t>Association p-values were calculated from a χ</w:t>
      </w:r>
      <w:r w:rsidRPr="00331061">
        <w:rPr>
          <w:rFonts w:ascii="Calibri" w:hAnsi="Calibri"/>
          <w:sz w:val="22"/>
          <w:szCs w:val="22"/>
          <w:vertAlign w:val="superscript"/>
        </w:rPr>
        <w:t>2</w:t>
      </w:r>
      <w:r w:rsidRPr="00331061">
        <w:rPr>
          <w:rFonts w:ascii="Calibri" w:hAnsi="Calibri"/>
          <w:sz w:val="22"/>
          <w:szCs w:val="22"/>
        </w:rPr>
        <w:t xml:space="preserve"> 1df test. Several diseases yielded highly significant p-values (p&lt;2.23x10</w:t>
      </w:r>
      <w:r w:rsidRPr="00331061">
        <w:rPr>
          <w:rFonts w:ascii="Calibri" w:hAnsi="Calibri"/>
          <w:sz w:val="22"/>
          <w:szCs w:val="22"/>
          <w:vertAlign w:val="superscript"/>
        </w:rPr>
        <w:t>-308</w:t>
      </w:r>
      <w:r w:rsidRPr="00331061">
        <w:rPr>
          <w:rFonts w:ascii="Calibri" w:hAnsi="Calibri"/>
          <w:sz w:val="22"/>
          <w:szCs w:val="22"/>
        </w:rPr>
        <w:t>), hence an approximate -log</w:t>
      </w:r>
      <w:r w:rsidRPr="00331061">
        <w:rPr>
          <w:rFonts w:ascii="Calibri" w:hAnsi="Calibri"/>
          <w:sz w:val="22"/>
          <w:szCs w:val="22"/>
          <w:vertAlign w:val="subscript"/>
        </w:rPr>
        <w:t>10</w:t>
      </w:r>
      <w:r w:rsidRPr="00331061">
        <w:rPr>
          <w:rFonts w:ascii="Calibri" w:hAnsi="Calibri"/>
          <w:sz w:val="22"/>
          <w:szCs w:val="22"/>
        </w:rPr>
        <w:t>(p) was calculated by:</w:t>
      </w:r>
    </w:p>
    <w:p w14:paraId="0D8AF923" w14:textId="77777777" w:rsidR="002A6FCF" w:rsidRPr="00331061" w:rsidRDefault="002A6FCF" w:rsidP="00331061">
      <w:pPr>
        <w:spacing w:line="360" w:lineRule="auto"/>
        <w:ind w:firstLine="720"/>
        <w:rPr>
          <w:rFonts w:ascii="Calibri" w:hAnsi="Calibri"/>
          <w:sz w:val="22"/>
          <w:szCs w:val="22"/>
        </w:rPr>
      </w:pPr>
      <w:r w:rsidRPr="00331061">
        <w:rPr>
          <w:rFonts w:ascii="Calibri" w:hAnsi="Calibri"/>
          <w:sz w:val="22"/>
          <w:szCs w:val="22"/>
        </w:rPr>
        <w:t>-log</w:t>
      </w:r>
      <w:r w:rsidRPr="00331061">
        <w:rPr>
          <w:rFonts w:ascii="Calibri" w:hAnsi="Calibri"/>
          <w:sz w:val="22"/>
          <w:szCs w:val="22"/>
          <w:vertAlign w:val="subscript"/>
        </w:rPr>
        <w:t>10</w:t>
      </w:r>
      <w:r w:rsidRPr="00331061">
        <w:rPr>
          <w:rFonts w:ascii="Calibri" w:eastAsia="Arial Unicode MS" w:hAnsi="Calibri" w:cs="Arial Unicode MS"/>
          <w:sz w:val="22"/>
          <w:szCs w:val="22"/>
        </w:rPr>
        <w:t>(p) ≈ -log</w:t>
      </w:r>
      <w:r w:rsidRPr="00331061">
        <w:rPr>
          <w:rFonts w:ascii="Calibri" w:hAnsi="Calibri"/>
          <w:i/>
          <w:sz w:val="22"/>
          <w:szCs w:val="22"/>
          <w:vertAlign w:val="subscript"/>
        </w:rPr>
        <w:t>e</w:t>
      </w:r>
      <w:r w:rsidRPr="00331061">
        <w:rPr>
          <w:rFonts w:ascii="Calibri" w:hAnsi="Calibri"/>
          <w:sz w:val="22"/>
          <w:szCs w:val="22"/>
        </w:rPr>
        <w:t>(p)/(log</w:t>
      </w:r>
      <w:r w:rsidRPr="00331061">
        <w:rPr>
          <w:rFonts w:ascii="Calibri" w:hAnsi="Calibri"/>
          <w:i/>
          <w:sz w:val="22"/>
          <w:szCs w:val="22"/>
          <w:vertAlign w:val="subscript"/>
        </w:rPr>
        <w:t>e</w:t>
      </w:r>
      <w:r w:rsidRPr="00331061">
        <w:rPr>
          <w:rFonts w:ascii="Calibri" w:hAnsi="Calibri"/>
          <w:sz w:val="22"/>
          <w:szCs w:val="22"/>
        </w:rPr>
        <w:t>(100)/2)</w:t>
      </w:r>
    </w:p>
    <w:p w14:paraId="27846EE9" w14:textId="01F15371" w:rsidR="002A6FCF" w:rsidRPr="00331061" w:rsidRDefault="002A6FCF" w:rsidP="00331061">
      <w:pPr>
        <w:spacing w:line="360" w:lineRule="auto"/>
        <w:rPr>
          <w:rFonts w:ascii="Calibri" w:hAnsi="Calibri"/>
          <w:sz w:val="22"/>
          <w:szCs w:val="22"/>
        </w:rPr>
      </w:pPr>
      <w:r w:rsidRPr="00331061">
        <w:rPr>
          <w:rFonts w:ascii="Calibri" w:hAnsi="Calibri"/>
          <w:sz w:val="22"/>
          <w:szCs w:val="22"/>
        </w:rPr>
        <w:lastRenderedPageBreak/>
        <w:t>to describe the strength of the association. This approximation was performed using the R statistical software</w:t>
      </w:r>
      <w:r w:rsidR="00E17785" w:rsidRPr="00331061">
        <w:rPr>
          <w:rFonts w:ascii="Calibri" w:hAnsi="Calibri"/>
          <w:sz w:val="22"/>
          <w:szCs w:val="22"/>
        </w:rPr>
        <w:fldChar w:fldCharType="begin" w:fldLock="1"/>
      </w:r>
      <w:r w:rsidR="004B6A5D">
        <w:rPr>
          <w:rFonts w:ascii="Calibri" w:hAnsi="Calibri"/>
          <w:sz w:val="22"/>
          <w:szCs w:val="22"/>
        </w:rPr>
        <w:instrText>ADDIN CSL_CITATION { "citationItems" : [ { "id" : "ITEM-1", "itemData" : { "URL" : "https://www.r-project.org/", "author" : [ { "dropping-particle" : "", "family" : "R Core Team", "given" : "", "non-dropping-particle" : "", "parse-names" : false, "suffix" : "" } ], "id" : "ITEM-1", "issued" : { "date-parts" : [ [ "2017" ] ] }, "publisher-place" : "R Foundation for Statistical Computing, Vienna, Austria", "title" : "R: A Language and Environment for Statistical Computing. R Foundation for Statistical Computing, Vienna, Australia", "type" : "webpage" }, "uris" : [ "http://www.mendeley.com/documents/?uuid=3aeee7da-4ffa-48e0-93aa-957cfcba283e" ] } ], "mendeley" : { "formattedCitation" : "[12]", "plainTextFormattedCitation" : "[12]", "previouslyFormattedCitation" : "&lt;sup&gt;12&lt;/sup&gt;" }, "properties" : {  }, "schema" : "https://github.com/citation-style-language/schema/raw/master/csl-citation.json" }</w:instrText>
      </w:r>
      <w:r w:rsidR="00E17785" w:rsidRPr="00331061">
        <w:rPr>
          <w:rFonts w:ascii="Calibri" w:hAnsi="Calibri"/>
          <w:sz w:val="22"/>
          <w:szCs w:val="22"/>
        </w:rPr>
        <w:fldChar w:fldCharType="separate"/>
      </w:r>
      <w:r w:rsidR="004B6A5D" w:rsidRPr="004B6A5D">
        <w:rPr>
          <w:rFonts w:ascii="Calibri" w:hAnsi="Calibri"/>
          <w:noProof/>
          <w:sz w:val="22"/>
          <w:szCs w:val="22"/>
        </w:rPr>
        <w:t>[12]</w:t>
      </w:r>
      <w:r w:rsidR="00E17785" w:rsidRPr="00331061">
        <w:rPr>
          <w:rFonts w:ascii="Calibri" w:hAnsi="Calibri"/>
          <w:sz w:val="22"/>
          <w:szCs w:val="22"/>
        </w:rPr>
        <w:fldChar w:fldCharType="end"/>
      </w:r>
      <w:r w:rsidR="00E17785" w:rsidRPr="00331061">
        <w:rPr>
          <w:rFonts w:ascii="Calibri" w:hAnsi="Calibri"/>
          <w:sz w:val="22"/>
          <w:szCs w:val="22"/>
        </w:rPr>
        <w:t>.</w:t>
      </w:r>
    </w:p>
    <w:p w14:paraId="27F39030" w14:textId="77777777" w:rsidR="002A6FCF" w:rsidRPr="00EE0AC3" w:rsidRDefault="002A6FCF" w:rsidP="00331061">
      <w:pPr>
        <w:pStyle w:val="PreformattedText"/>
        <w:spacing w:after="120" w:line="360" w:lineRule="auto"/>
        <w:rPr>
          <w:rFonts w:ascii="Times" w:hAnsi="Times"/>
          <w:b/>
          <w:color w:val="000000"/>
        </w:rPr>
      </w:pPr>
    </w:p>
    <w:p w14:paraId="45301022" w14:textId="77777777" w:rsidR="00331061" w:rsidRDefault="00331061" w:rsidP="00331061">
      <w:pPr>
        <w:widowControl/>
        <w:suppressAutoHyphens w:val="0"/>
        <w:spacing w:line="360" w:lineRule="auto"/>
        <w:rPr>
          <w:rFonts w:asciiTheme="majorHAnsi" w:eastAsiaTheme="majorEastAsia" w:hAnsiTheme="majorHAnsi" w:cstheme="majorBidi"/>
          <w:b/>
          <w:bCs/>
          <w:kern w:val="32"/>
          <w:sz w:val="32"/>
          <w:szCs w:val="32"/>
        </w:rPr>
      </w:pPr>
      <w:r>
        <w:br w:type="page"/>
      </w:r>
    </w:p>
    <w:p w14:paraId="6FDA40ED" w14:textId="77777777" w:rsidR="004B643E" w:rsidRDefault="004B643E" w:rsidP="004B643E">
      <w:pPr>
        <w:widowControl/>
        <w:suppressAutoHyphens w:val="0"/>
        <w:rPr>
          <w:rFonts w:ascii="Calibri" w:hAnsi="Calibri" w:cs="Arial"/>
          <w:b/>
          <w:bCs/>
          <w:sz w:val="22"/>
        </w:rPr>
        <w:sectPr w:rsidR="004B643E">
          <w:headerReference w:type="even" r:id="rId7"/>
          <w:headerReference w:type="default" r:id="rId8"/>
          <w:pgSz w:w="11906" w:h="16838"/>
          <w:pgMar w:top="1134" w:right="1134" w:bottom="1134" w:left="1134" w:header="720" w:footer="720" w:gutter="0"/>
          <w:cols w:space="720"/>
        </w:sectPr>
      </w:pPr>
    </w:p>
    <w:p w14:paraId="69262587" w14:textId="77777777" w:rsidR="00B34B2E" w:rsidRDefault="00B34B2E" w:rsidP="00B34B2E">
      <w:pPr>
        <w:pStyle w:val="Heading1"/>
      </w:pPr>
      <w:proofErr w:type="spellStart"/>
      <w:r w:rsidRPr="00163A52">
        <w:lastRenderedPageBreak/>
        <w:t>eFigures</w:t>
      </w:r>
      <w:proofErr w:type="spellEnd"/>
    </w:p>
    <w:p w14:paraId="5D9D2B2C" w14:textId="77777777" w:rsidR="00B34B2E" w:rsidRDefault="00B34B2E" w:rsidP="004B643E">
      <w:pPr>
        <w:widowControl/>
        <w:suppressAutoHyphens w:val="0"/>
        <w:rPr>
          <w:rFonts w:ascii="Calibri" w:hAnsi="Calibri" w:cs="Arial"/>
          <w:b/>
          <w:bCs/>
          <w:sz w:val="22"/>
        </w:rPr>
      </w:pPr>
    </w:p>
    <w:p w14:paraId="718E1B9C" w14:textId="77777777" w:rsidR="00B34B2E" w:rsidRDefault="00B34B2E" w:rsidP="004B643E">
      <w:pPr>
        <w:widowControl/>
        <w:suppressAutoHyphens w:val="0"/>
        <w:rPr>
          <w:rFonts w:ascii="Calibri" w:hAnsi="Calibri" w:cs="Arial"/>
          <w:b/>
          <w:bCs/>
          <w:sz w:val="22"/>
        </w:rPr>
      </w:pPr>
    </w:p>
    <w:p w14:paraId="37A52CD5" w14:textId="433709B8" w:rsidR="00F22745" w:rsidRDefault="00F22745" w:rsidP="004B643E">
      <w:pPr>
        <w:widowControl/>
        <w:suppressAutoHyphens w:val="0"/>
        <w:rPr>
          <w:rFonts w:ascii="Calibri" w:hAnsi="Calibri" w:cs="Arial"/>
          <w:b/>
          <w:bCs/>
          <w:sz w:val="22"/>
        </w:rPr>
      </w:pPr>
      <w:r>
        <w:rPr>
          <w:rFonts w:ascii="Calibri" w:hAnsi="Calibri" w:cs="Arial"/>
          <w:b/>
          <w:bCs/>
          <w:noProof/>
          <w:sz w:val="22"/>
          <w:lang w:eastAsia="en-GB"/>
        </w:rPr>
        <w:drawing>
          <wp:inline distT="0" distB="0" distL="0" distR="0" wp14:anchorId="06348577" wp14:editId="4D12478E">
            <wp:extent cx="3318387" cy="4603926"/>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eo Clinical Features Form 2017v2 pdf.pdf"/>
                    <pic:cNvPicPr/>
                  </pic:nvPicPr>
                  <pic:blipFill rotWithShape="1">
                    <a:blip r:embed="rId9">
                      <a:extLst>
                        <a:ext uri="{28A0092B-C50C-407E-A947-70E740481C1C}">
                          <a14:useLocalDpi xmlns:a14="http://schemas.microsoft.com/office/drawing/2010/main" val="0"/>
                        </a:ext>
                      </a:extLst>
                    </a:blip>
                    <a:srcRect l="10206" t="9776" r="8377" b="10397"/>
                    <a:stretch/>
                  </pic:blipFill>
                  <pic:spPr bwMode="auto">
                    <a:xfrm>
                      <a:off x="0" y="0"/>
                      <a:ext cx="3318965" cy="460472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Pr>
          <w:rFonts w:ascii="Calibri" w:hAnsi="Calibri" w:cs="Arial"/>
          <w:b/>
          <w:bCs/>
          <w:noProof/>
          <w:sz w:val="22"/>
          <w:lang w:eastAsia="en-GB"/>
        </w:rPr>
        <w:drawing>
          <wp:inline distT="0" distB="0" distL="0" distR="0" wp14:anchorId="78A0AC91" wp14:editId="555053BC">
            <wp:extent cx="3229896" cy="466791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eo Clinical Features Form 2017v2 pdf.pdf"/>
                    <pic:cNvPicPr/>
                  </pic:nvPicPr>
                  <pic:blipFill rotWithShape="1">
                    <a:blip r:embed="rId10">
                      <a:extLst>
                        <a:ext uri="{28A0092B-C50C-407E-A947-70E740481C1C}">
                          <a14:useLocalDpi xmlns:a14="http://schemas.microsoft.com/office/drawing/2010/main" val="0"/>
                        </a:ext>
                      </a:extLst>
                    </a:blip>
                    <a:srcRect l="11303" t="6361" r="10192" b="13462"/>
                    <a:stretch/>
                  </pic:blipFill>
                  <pic:spPr bwMode="auto">
                    <a:xfrm>
                      <a:off x="0" y="0"/>
                      <a:ext cx="3230755" cy="466915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0B253185" w14:textId="77777777" w:rsidR="00F22745" w:rsidRDefault="00F22745" w:rsidP="004B643E">
      <w:pPr>
        <w:widowControl/>
        <w:suppressAutoHyphens w:val="0"/>
        <w:rPr>
          <w:rFonts w:ascii="Calibri" w:hAnsi="Calibri" w:cs="Arial"/>
          <w:b/>
          <w:bCs/>
          <w:sz w:val="22"/>
        </w:rPr>
      </w:pPr>
    </w:p>
    <w:p w14:paraId="0DAB5782" w14:textId="77777777" w:rsidR="00F22745" w:rsidRDefault="00F22745" w:rsidP="004B643E">
      <w:pPr>
        <w:widowControl/>
        <w:suppressAutoHyphens w:val="0"/>
        <w:rPr>
          <w:rFonts w:ascii="Calibri" w:hAnsi="Calibri" w:cs="Arial"/>
          <w:b/>
          <w:bCs/>
          <w:sz w:val="22"/>
        </w:rPr>
      </w:pPr>
    </w:p>
    <w:p w14:paraId="7DB32657" w14:textId="47FBCA7F" w:rsidR="00F22745" w:rsidRDefault="00F22745" w:rsidP="00F22745">
      <w:pPr>
        <w:widowControl/>
        <w:suppressAutoHyphens w:val="0"/>
      </w:pPr>
      <w:proofErr w:type="spellStart"/>
      <w:r w:rsidRPr="00331061">
        <w:rPr>
          <w:rFonts w:ascii="Calibri" w:hAnsi="Calibri" w:cs="Arial"/>
          <w:b/>
          <w:bCs/>
          <w:sz w:val="22"/>
        </w:rPr>
        <w:t>eFigure</w:t>
      </w:r>
      <w:proofErr w:type="spellEnd"/>
      <w:r w:rsidRPr="00331061">
        <w:rPr>
          <w:rFonts w:ascii="Calibri" w:hAnsi="Calibri" w:cs="Arial"/>
          <w:b/>
          <w:bCs/>
          <w:sz w:val="22"/>
        </w:rPr>
        <w:t xml:space="preserve"> </w:t>
      </w:r>
      <w:r w:rsidR="00B34B2E">
        <w:rPr>
          <w:rFonts w:ascii="Calibri" w:hAnsi="Calibri" w:cs="Arial"/>
          <w:b/>
          <w:bCs/>
          <w:sz w:val="22"/>
        </w:rPr>
        <w:t>1.</w:t>
      </w:r>
      <w:r w:rsidRPr="00331061">
        <w:rPr>
          <w:rFonts w:ascii="Calibri" w:hAnsi="Calibri" w:cs="Arial"/>
          <w:b/>
          <w:sz w:val="22"/>
        </w:rPr>
        <w:t xml:space="preserve"> </w:t>
      </w:r>
      <w:r>
        <w:rPr>
          <w:rFonts w:ascii="Calibri" w:hAnsi="Calibri" w:cs="Arial"/>
          <w:sz w:val="22"/>
        </w:rPr>
        <w:t xml:space="preserve">Copy of the clinical information </w:t>
      </w:r>
      <w:proofErr w:type="spellStart"/>
      <w:r>
        <w:rPr>
          <w:rFonts w:ascii="Calibri" w:hAnsi="Calibri" w:cs="Arial"/>
          <w:sz w:val="22"/>
        </w:rPr>
        <w:t>proforma</w:t>
      </w:r>
      <w:proofErr w:type="spellEnd"/>
      <w:r>
        <w:rPr>
          <w:rFonts w:ascii="Calibri" w:hAnsi="Calibri" w:cs="Arial"/>
          <w:sz w:val="22"/>
        </w:rPr>
        <w:t xml:space="preserve"> sent to referring clinicians</w:t>
      </w:r>
    </w:p>
    <w:p w14:paraId="05BB6E96" w14:textId="028E185C" w:rsidR="004B643E" w:rsidRDefault="004B643E">
      <w:pPr>
        <w:widowControl/>
        <w:suppressAutoHyphens w:val="0"/>
      </w:pPr>
      <w:r>
        <w:br w:type="page"/>
      </w:r>
    </w:p>
    <w:p w14:paraId="55B23BF8" w14:textId="77777777" w:rsidR="004B643E" w:rsidRDefault="004B643E">
      <w:pPr>
        <w:widowControl/>
        <w:suppressAutoHyphens w:val="0"/>
      </w:pPr>
    </w:p>
    <w:p w14:paraId="5150030D" w14:textId="77777777" w:rsidR="00B34B2E" w:rsidRDefault="00B34B2E" w:rsidP="00B34B2E">
      <w:pPr>
        <w:rPr>
          <w:rFonts w:ascii="Calibri" w:hAnsi="Calibri" w:cs="Arial"/>
          <w:b/>
          <w:bCs/>
          <w:sz w:val="22"/>
        </w:rPr>
      </w:pPr>
      <w:r>
        <w:rPr>
          <w:rFonts w:ascii="Calibri" w:hAnsi="Calibri" w:cs="Arial"/>
          <w:b/>
          <w:bCs/>
          <w:noProof/>
          <w:sz w:val="22"/>
          <w:lang w:eastAsia="en-GB"/>
        </w:rPr>
        <w:drawing>
          <wp:inline distT="0" distB="0" distL="0" distR="0" wp14:anchorId="0458F9F2" wp14:editId="64797B00">
            <wp:extent cx="6120130" cy="4590415"/>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gure1_flow_chart_230917.pdf"/>
                    <pic:cNvPicPr/>
                  </pic:nvPicPr>
                  <pic:blipFill>
                    <a:blip r:embed="rId11">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r w:rsidRPr="00F22745">
        <w:rPr>
          <w:rFonts w:ascii="Calibri" w:hAnsi="Calibri" w:cs="Arial"/>
          <w:b/>
          <w:bCs/>
          <w:sz w:val="22"/>
        </w:rPr>
        <w:t xml:space="preserve"> </w:t>
      </w:r>
    </w:p>
    <w:p w14:paraId="7AA1FED1" w14:textId="77777777" w:rsidR="00B34B2E" w:rsidRDefault="00B34B2E" w:rsidP="00B34B2E">
      <w:pPr>
        <w:rPr>
          <w:rFonts w:ascii="Calibri" w:hAnsi="Calibri" w:cs="Arial"/>
          <w:b/>
          <w:bCs/>
          <w:sz w:val="22"/>
        </w:rPr>
      </w:pPr>
    </w:p>
    <w:p w14:paraId="45551F76" w14:textId="0591FC38" w:rsidR="00B34B2E" w:rsidRDefault="00B34B2E" w:rsidP="00B34B2E">
      <w:pPr>
        <w:rPr>
          <w:rFonts w:ascii="Calibri" w:hAnsi="Calibri" w:cs="Arial"/>
          <w:sz w:val="22"/>
        </w:rPr>
      </w:pPr>
      <w:proofErr w:type="spellStart"/>
      <w:r w:rsidRPr="00490651">
        <w:rPr>
          <w:rFonts w:ascii="Calibri" w:hAnsi="Calibri" w:cs="Arial"/>
          <w:b/>
          <w:bCs/>
          <w:sz w:val="22"/>
        </w:rPr>
        <w:t>eFigure</w:t>
      </w:r>
      <w:proofErr w:type="spellEnd"/>
      <w:r w:rsidRPr="00490651">
        <w:rPr>
          <w:rFonts w:ascii="Calibri" w:hAnsi="Calibri" w:cs="Arial"/>
          <w:b/>
          <w:bCs/>
          <w:sz w:val="22"/>
        </w:rPr>
        <w:t xml:space="preserve"> </w:t>
      </w:r>
      <w:r>
        <w:rPr>
          <w:rFonts w:ascii="Calibri" w:hAnsi="Calibri" w:cs="Arial"/>
          <w:b/>
          <w:bCs/>
          <w:sz w:val="22"/>
        </w:rPr>
        <w:t>2</w:t>
      </w:r>
      <w:r w:rsidRPr="00490651">
        <w:rPr>
          <w:rFonts w:ascii="Calibri" w:hAnsi="Calibri" w:cs="Arial"/>
          <w:b/>
          <w:bCs/>
          <w:sz w:val="22"/>
        </w:rPr>
        <w:t>.</w:t>
      </w:r>
      <w:r w:rsidRPr="00490651">
        <w:rPr>
          <w:rFonts w:ascii="Calibri" w:hAnsi="Calibri" w:cs="Arial"/>
          <w:b/>
          <w:sz w:val="22"/>
        </w:rPr>
        <w:t xml:space="preserve"> </w:t>
      </w:r>
      <w:r w:rsidRPr="00490651">
        <w:rPr>
          <w:rFonts w:ascii="Calibri" w:hAnsi="Calibri" w:cs="Arial"/>
          <w:sz w:val="22"/>
        </w:rPr>
        <w:t>Of 1832 patients referred for genetic testing due to a family history of PPGL/HNPGL, numbers of probands, mutations carriers, and patients with full clinical information are shown.</w:t>
      </w:r>
      <w:r>
        <w:rPr>
          <w:rFonts w:ascii="Calibri" w:hAnsi="Calibri" w:cs="Arial"/>
          <w:sz w:val="22"/>
        </w:rPr>
        <w:t xml:space="preserve"> </w:t>
      </w:r>
    </w:p>
    <w:p w14:paraId="7FBA1988" w14:textId="150BD923" w:rsidR="000E678E" w:rsidRPr="00CE0D2E" w:rsidRDefault="00B34B2E" w:rsidP="00CE0D2E">
      <w:pPr>
        <w:rPr>
          <w:rFonts w:ascii="Calibri" w:hAnsi="Calibri" w:cs="Arial"/>
          <w:sz w:val="22"/>
        </w:rPr>
        <w:sectPr w:rsidR="000E678E" w:rsidRPr="00CE0D2E" w:rsidSect="004B643E">
          <w:pgSz w:w="16838" w:h="11906" w:orient="landscape"/>
          <w:pgMar w:top="1134" w:right="1134" w:bottom="1134" w:left="1134" w:header="720" w:footer="720" w:gutter="0"/>
          <w:cols w:space="720"/>
        </w:sectPr>
      </w:pPr>
      <w:r>
        <w:rPr>
          <w:rFonts w:ascii="Calibri" w:hAnsi="Calibri" w:cs="Arial"/>
          <w:sz w:val="22"/>
        </w:rPr>
        <w:t xml:space="preserve"> </w:t>
      </w:r>
    </w:p>
    <w:p w14:paraId="204926D0" w14:textId="73BDDC1D" w:rsidR="004B643E" w:rsidRDefault="004B643E">
      <w:pPr>
        <w:widowControl/>
        <w:suppressAutoHyphens w:val="0"/>
      </w:pPr>
    </w:p>
    <w:p w14:paraId="483877A7" w14:textId="0EEF79B4" w:rsidR="004B393C" w:rsidRPr="00EE0AC3" w:rsidRDefault="004B393C" w:rsidP="009032FB">
      <w:pPr>
        <w:rPr>
          <w:rFonts w:ascii="Times" w:hAnsi="Times"/>
          <w:b/>
        </w:rPr>
      </w:pPr>
    </w:p>
    <w:p w14:paraId="120857FD" w14:textId="06B18616" w:rsidR="00653709" w:rsidRPr="00EE0AC3" w:rsidRDefault="00653709" w:rsidP="009032FB">
      <w:pPr>
        <w:rPr>
          <w:rFonts w:ascii="Times" w:hAnsi="Times"/>
          <w:b/>
        </w:rPr>
      </w:pPr>
      <w:r w:rsidRPr="00EE0AC3">
        <w:rPr>
          <w:rFonts w:ascii="Times" w:hAnsi="Times"/>
          <w:b/>
          <w:noProof/>
          <w:lang w:eastAsia="en-GB"/>
        </w:rPr>
        <w:drawing>
          <wp:inline distT="0" distB="0" distL="0" distR="0" wp14:anchorId="55D241A0" wp14:editId="6EC9C296">
            <wp:extent cx="6120130" cy="3776980"/>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ation_frequencies.pdf"/>
                    <pic:cNvPicPr/>
                  </pic:nvPicPr>
                  <pic:blipFill>
                    <a:blip r:embed="rId12">
                      <a:extLst>
                        <a:ext uri="{28A0092B-C50C-407E-A947-70E740481C1C}">
                          <a14:useLocalDpi xmlns:a14="http://schemas.microsoft.com/office/drawing/2010/main" val="0"/>
                        </a:ext>
                      </a:extLst>
                    </a:blip>
                    <a:stretch>
                      <a:fillRect/>
                    </a:stretch>
                  </pic:blipFill>
                  <pic:spPr>
                    <a:xfrm>
                      <a:off x="0" y="0"/>
                      <a:ext cx="6120130" cy="3776980"/>
                    </a:xfrm>
                    <a:prstGeom prst="rect">
                      <a:avLst/>
                    </a:prstGeom>
                  </pic:spPr>
                </pic:pic>
              </a:graphicData>
            </a:graphic>
          </wp:inline>
        </w:drawing>
      </w:r>
    </w:p>
    <w:p w14:paraId="3E84AA16" w14:textId="77777777" w:rsidR="0002402C" w:rsidRDefault="0002402C" w:rsidP="0002402C">
      <w:pPr>
        <w:rPr>
          <w:rFonts w:ascii="Calibri" w:hAnsi="Calibri" w:cs="Arial"/>
          <w:b/>
          <w:bCs/>
          <w:sz w:val="22"/>
        </w:rPr>
      </w:pPr>
    </w:p>
    <w:p w14:paraId="41038150" w14:textId="5182EA9F" w:rsidR="0002402C" w:rsidRPr="00331061" w:rsidRDefault="0002402C" w:rsidP="0002402C">
      <w:pPr>
        <w:rPr>
          <w:rFonts w:ascii="Calibri" w:hAnsi="Calibri" w:cs="Arial"/>
          <w:sz w:val="22"/>
        </w:rPr>
      </w:pPr>
      <w:proofErr w:type="spellStart"/>
      <w:r w:rsidRPr="00331061">
        <w:rPr>
          <w:rFonts w:ascii="Calibri" w:hAnsi="Calibri" w:cs="Arial"/>
          <w:b/>
          <w:bCs/>
          <w:sz w:val="22"/>
        </w:rPr>
        <w:t>eFigure</w:t>
      </w:r>
      <w:proofErr w:type="spellEnd"/>
      <w:r w:rsidRPr="00331061">
        <w:rPr>
          <w:rFonts w:ascii="Calibri" w:hAnsi="Calibri" w:cs="Arial"/>
          <w:b/>
          <w:bCs/>
          <w:sz w:val="22"/>
        </w:rPr>
        <w:t xml:space="preserve"> </w:t>
      </w:r>
      <w:r w:rsidR="00F16A4B">
        <w:rPr>
          <w:rFonts w:ascii="Calibri" w:hAnsi="Calibri" w:cs="Arial"/>
          <w:b/>
          <w:bCs/>
          <w:sz w:val="22"/>
        </w:rPr>
        <w:t>3</w:t>
      </w:r>
      <w:r w:rsidRPr="00331061">
        <w:rPr>
          <w:rFonts w:ascii="Calibri" w:hAnsi="Calibri" w:cs="Arial"/>
          <w:b/>
          <w:bCs/>
          <w:sz w:val="22"/>
        </w:rPr>
        <w:t>.</w:t>
      </w:r>
      <w:r w:rsidRPr="00331061">
        <w:rPr>
          <w:rFonts w:ascii="Calibri" w:hAnsi="Calibri" w:cs="Arial"/>
          <w:b/>
          <w:sz w:val="22"/>
        </w:rPr>
        <w:t xml:space="preserve"> </w:t>
      </w:r>
      <w:r w:rsidRPr="00331061">
        <w:rPr>
          <w:rFonts w:ascii="Calibri" w:hAnsi="Calibri" w:cs="Arial"/>
          <w:sz w:val="22"/>
        </w:rPr>
        <w:t xml:space="preserve">Relative frequency of the most common </w:t>
      </w:r>
      <w:r w:rsidRPr="00331061">
        <w:rPr>
          <w:rFonts w:ascii="Calibri" w:hAnsi="Calibri" w:cs="Arial"/>
          <w:i/>
          <w:sz w:val="22"/>
        </w:rPr>
        <w:t>SDHB</w:t>
      </w:r>
      <w:r w:rsidRPr="00331061">
        <w:rPr>
          <w:rFonts w:ascii="Calibri" w:hAnsi="Calibri" w:cs="Arial"/>
          <w:sz w:val="22"/>
        </w:rPr>
        <w:t xml:space="preserve">, </w:t>
      </w:r>
      <w:r w:rsidRPr="00331061">
        <w:rPr>
          <w:rFonts w:ascii="Calibri" w:hAnsi="Calibri" w:cs="Arial"/>
          <w:i/>
          <w:sz w:val="22"/>
        </w:rPr>
        <w:t>SDHC</w:t>
      </w:r>
      <w:r w:rsidRPr="00331061">
        <w:rPr>
          <w:rFonts w:ascii="Calibri" w:hAnsi="Calibri" w:cs="Arial"/>
          <w:sz w:val="22"/>
        </w:rPr>
        <w:t xml:space="preserve"> and </w:t>
      </w:r>
      <w:r w:rsidRPr="00331061">
        <w:rPr>
          <w:rFonts w:ascii="Calibri" w:hAnsi="Calibri" w:cs="Arial"/>
          <w:i/>
          <w:sz w:val="22"/>
        </w:rPr>
        <w:t>SDHD</w:t>
      </w:r>
      <w:r w:rsidRPr="00331061">
        <w:rPr>
          <w:rFonts w:ascii="Calibri" w:hAnsi="Calibri" w:cs="Arial"/>
          <w:sz w:val="22"/>
        </w:rPr>
        <w:t xml:space="preserve"> mutations found in probands with </w:t>
      </w:r>
      <w:proofErr w:type="spellStart"/>
      <w:r w:rsidRPr="00331061">
        <w:rPr>
          <w:rFonts w:ascii="Calibri" w:hAnsi="Calibri" w:cs="Arial"/>
          <w:sz w:val="22"/>
        </w:rPr>
        <w:t>pheochromocytoma</w:t>
      </w:r>
      <w:proofErr w:type="spellEnd"/>
      <w:r w:rsidRPr="00331061">
        <w:rPr>
          <w:rFonts w:ascii="Calibri" w:hAnsi="Calibri" w:cs="Arial"/>
          <w:sz w:val="22"/>
        </w:rPr>
        <w:t xml:space="preserve"> or paraganglioma. A large proportion of probands have one of a few common mutations. </w:t>
      </w:r>
    </w:p>
    <w:p w14:paraId="141CA8C3" w14:textId="2A600744" w:rsidR="00163A52" w:rsidRDefault="00163A52" w:rsidP="009032FB">
      <w:pPr>
        <w:rPr>
          <w:rFonts w:ascii="Times" w:hAnsi="Times"/>
          <w:color w:val="000000"/>
        </w:rPr>
      </w:pPr>
    </w:p>
    <w:p w14:paraId="2A83076D" w14:textId="77777777" w:rsidR="00163A52" w:rsidRDefault="00163A52" w:rsidP="009032FB">
      <w:pPr>
        <w:rPr>
          <w:rFonts w:ascii="Times" w:hAnsi="Times"/>
          <w:color w:val="000000"/>
        </w:rPr>
      </w:pPr>
    </w:p>
    <w:p w14:paraId="7FC0981E" w14:textId="77777777" w:rsidR="00163A52" w:rsidRDefault="00163A52" w:rsidP="009032FB">
      <w:pPr>
        <w:rPr>
          <w:rFonts w:ascii="Times" w:hAnsi="Times"/>
          <w:color w:val="000000"/>
        </w:rPr>
      </w:pPr>
    </w:p>
    <w:p w14:paraId="1A98A798" w14:textId="77777777" w:rsidR="00163A52" w:rsidRDefault="00163A52" w:rsidP="009032FB">
      <w:pPr>
        <w:rPr>
          <w:rFonts w:ascii="Times" w:hAnsi="Times"/>
          <w:color w:val="000000"/>
        </w:rPr>
      </w:pPr>
    </w:p>
    <w:p w14:paraId="6D622CE3" w14:textId="77777777" w:rsidR="00163A52" w:rsidRDefault="00163A52" w:rsidP="009032FB">
      <w:pPr>
        <w:rPr>
          <w:rFonts w:ascii="Times" w:hAnsi="Times"/>
          <w:color w:val="000000"/>
        </w:rPr>
      </w:pPr>
    </w:p>
    <w:p w14:paraId="6A60E2EB" w14:textId="77777777" w:rsidR="00163A52" w:rsidRDefault="00163A52" w:rsidP="009032FB">
      <w:pPr>
        <w:rPr>
          <w:rFonts w:ascii="Times" w:hAnsi="Times"/>
          <w:color w:val="000000"/>
        </w:rPr>
      </w:pPr>
    </w:p>
    <w:p w14:paraId="21EE454A" w14:textId="77777777" w:rsidR="00163A52" w:rsidRDefault="00163A52" w:rsidP="009032FB">
      <w:pPr>
        <w:rPr>
          <w:rFonts w:ascii="Times" w:hAnsi="Times"/>
          <w:color w:val="000000"/>
        </w:rPr>
      </w:pPr>
    </w:p>
    <w:p w14:paraId="4CE4DB48" w14:textId="77777777" w:rsidR="00163A52" w:rsidRDefault="00163A52" w:rsidP="009032FB">
      <w:pPr>
        <w:rPr>
          <w:rFonts w:ascii="Times" w:hAnsi="Times"/>
          <w:color w:val="000000"/>
        </w:rPr>
      </w:pPr>
    </w:p>
    <w:p w14:paraId="02BD4A3A" w14:textId="77777777" w:rsidR="00163A52" w:rsidRDefault="00163A52" w:rsidP="009032FB">
      <w:pPr>
        <w:rPr>
          <w:rFonts w:ascii="Times" w:hAnsi="Times"/>
          <w:color w:val="000000"/>
        </w:rPr>
      </w:pPr>
    </w:p>
    <w:p w14:paraId="39531DC1" w14:textId="576FBB7E" w:rsidR="00163A52" w:rsidRDefault="00163A52">
      <w:pPr>
        <w:widowControl/>
        <w:suppressAutoHyphens w:val="0"/>
        <w:rPr>
          <w:rFonts w:ascii="Times" w:hAnsi="Times"/>
          <w:color w:val="000000"/>
        </w:rPr>
      </w:pPr>
      <w:r>
        <w:rPr>
          <w:rFonts w:ascii="Times" w:hAnsi="Times"/>
          <w:color w:val="000000"/>
        </w:rPr>
        <w:br w:type="page"/>
      </w:r>
    </w:p>
    <w:p w14:paraId="2CBC7314" w14:textId="77777777" w:rsidR="007D3327" w:rsidRDefault="007D3327" w:rsidP="009032FB">
      <w:pPr>
        <w:rPr>
          <w:rFonts w:ascii="Times" w:hAnsi="Times"/>
          <w:color w:val="000000"/>
        </w:rPr>
        <w:sectPr w:rsidR="007D3327" w:rsidSect="004B643E">
          <w:pgSz w:w="11906" w:h="16838"/>
          <w:pgMar w:top="1134" w:right="1134" w:bottom="1134" w:left="1134" w:header="720" w:footer="720" w:gutter="0"/>
          <w:cols w:space="720"/>
        </w:sectPr>
      </w:pPr>
    </w:p>
    <w:p w14:paraId="2D05ABA3" w14:textId="2413F576" w:rsidR="00750489" w:rsidRDefault="00750489" w:rsidP="009032FB">
      <w:pPr>
        <w:rPr>
          <w:rFonts w:ascii="Times" w:hAnsi="Times"/>
          <w:color w:val="000000"/>
        </w:rPr>
      </w:pPr>
    </w:p>
    <w:p w14:paraId="1774616B" w14:textId="38E501BA" w:rsidR="007D3327" w:rsidRDefault="00490651" w:rsidP="0002402C">
      <w:pPr>
        <w:rPr>
          <w:rFonts w:ascii="Calibri" w:hAnsi="Calibri" w:cs="Arial"/>
          <w:b/>
          <w:bCs/>
          <w:sz w:val="22"/>
        </w:rPr>
      </w:pPr>
      <w:r>
        <w:rPr>
          <w:rFonts w:ascii="Calibri" w:hAnsi="Calibri" w:cs="Arial"/>
          <w:b/>
          <w:bCs/>
          <w:noProof/>
          <w:sz w:val="22"/>
          <w:lang w:eastAsia="en-GB"/>
        </w:rPr>
        <w:drawing>
          <wp:inline distT="0" distB="0" distL="0" distR="0" wp14:anchorId="34B1C358" wp14:editId="6A271AE1">
            <wp:extent cx="9251950" cy="4930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HB_males_females.pdf"/>
                    <pic:cNvPicPr/>
                  </pic:nvPicPr>
                  <pic:blipFill>
                    <a:blip r:embed="rId13">
                      <a:extLst>
                        <a:ext uri="{28A0092B-C50C-407E-A947-70E740481C1C}">
                          <a14:useLocalDpi xmlns:a14="http://schemas.microsoft.com/office/drawing/2010/main" val="0"/>
                        </a:ext>
                      </a:extLst>
                    </a:blip>
                    <a:stretch>
                      <a:fillRect/>
                    </a:stretch>
                  </pic:blipFill>
                  <pic:spPr>
                    <a:xfrm>
                      <a:off x="0" y="0"/>
                      <a:ext cx="9251950" cy="4930140"/>
                    </a:xfrm>
                    <a:prstGeom prst="rect">
                      <a:avLst/>
                    </a:prstGeom>
                  </pic:spPr>
                </pic:pic>
              </a:graphicData>
            </a:graphic>
          </wp:inline>
        </w:drawing>
      </w:r>
      <w:r>
        <w:rPr>
          <w:rFonts w:ascii="Calibri" w:hAnsi="Calibri" w:cs="Arial"/>
          <w:b/>
          <w:bCs/>
          <w:sz w:val="22"/>
        </w:rPr>
        <w:softHyphen/>
      </w:r>
    </w:p>
    <w:p w14:paraId="1999B6E7" w14:textId="77777777" w:rsidR="007D3327" w:rsidRDefault="007D3327" w:rsidP="0002402C">
      <w:pPr>
        <w:rPr>
          <w:rFonts w:ascii="Calibri" w:hAnsi="Calibri" w:cs="Arial"/>
          <w:b/>
          <w:bCs/>
          <w:sz w:val="22"/>
        </w:rPr>
      </w:pPr>
    </w:p>
    <w:p w14:paraId="7EE85579" w14:textId="77777777" w:rsidR="007D3327" w:rsidRDefault="007D3327" w:rsidP="0002402C">
      <w:pPr>
        <w:rPr>
          <w:rFonts w:ascii="Calibri" w:hAnsi="Calibri" w:cs="Arial"/>
          <w:b/>
          <w:bCs/>
          <w:sz w:val="22"/>
        </w:rPr>
      </w:pPr>
    </w:p>
    <w:p w14:paraId="487EB69D" w14:textId="5284EDE3" w:rsidR="0002402C" w:rsidRPr="00490651" w:rsidRDefault="0002402C" w:rsidP="0002402C">
      <w:pPr>
        <w:rPr>
          <w:rFonts w:ascii="Calibri" w:hAnsi="Calibri" w:cs="Arial"/>
          <w:sz w:val="22"/>
        </w:rPr>
      </w:pPr>
      <w:proofErr w:type="spellStart"/>
      <w:r w:rsidRPr="00490651">
        <w:rPr>
          <w:rFonts w:ascii="Calibri" w:hAnsi="Calibri" w:cs="Arial"/>
          <w:b/>
          <w:bCs/>
          <w:sz w:val="22"/>
        </w:rPr>
        <w:t>eFigure</w:t>
      </w:r>
      <w:proofErr w:type="spellEnd"/>
      <w:r w:rsidRPr="00490651">
        <w:rPr>
          <w:rFonts w:ascii="Calibri" w:hAnsi="Calibri" w:cs="Arial"/>
          <w:b/>
          <w:bCs/>
          <w:sz w:val="22"/>
        </w:rPr>
        <w:t xml:space="preserve"> </w:t>
      </w:r>
      <w:r w:rsidR="00F16A4B" w:rsidRPr="00490651">
        <w:rPr>
          <w:rFonts w:ascii="Calibri" w:hAnsi="Calibri" w:cs="Arial"/>
          <w:b/>
          <w:bCs/>
          <w:sz w:val="22"/>
        </w:rPr>
        <w:t>4</w:t>
      </w:r>
      <w:r w:rsidRPr="00490651">
        <w:rPr>
          <w:rFonts w:ascii="Calibri" w:hAnsi="Calibri" w:cs="Arial"/>
          <w:b/>
          <w:bCs/>
          <w:sz w:val="22"/>
        </w:rPr>
        <w:t>.</w:t>
      </w:r>
      <w:r w:rsidRPr="00490651">
        <w:rPr>
          <w:rFonts w:ascii="Calibri" w:hAnsi="Calibri" w:cs="Arial"/>
          <w:b/>
          <w:sz w:val="22"/>
        </w:rPr>
        <w:t xml:space="preserve"> </w:t>
      </w:r>
      <w:r w:rsidRPr="00490651">
        <w:rPr>
          <w:rFonts w:ascii="Calibri" w:hAnsi="Calibri" w:cs="Arial"/>
          <w:sz w:val="22"/>
        </w:rPr>
        <w:t xml:space="preserve">Difference in phenotypes of female and male </w:t>
      </w:r>
      <w:r w:rsidRPr="00490651">
        <w:rPr>
          <w:rFonts w:ascii="Calibri" w:hAnsi="Calibri" w:cs="Arial"/>
          <w:i/>
          <w:sz w:val="22"/>
        </w:rPr>
        <w:t>SDHB</w:t>
      </w:r>
      <w:r w:rsidR="000B1155" w:rsidRPr="00490651">
        <w:rPr>
          <w:rFonts w:ascii="Calibri" w:hAnsi="Calibri" w:cs="Arial"/>
          <w:sz w:val="22"/>
        </w:rPr>
        <w:t xml:space="preserve"> mutation carriers, probands and non-probands, by Kaplan-Meier analysis. </w:t>
      </w:r>
    </w:p>
    <w:p w14:paraId="17BDC3D8" w14:textId="56C8B079" w:rsidR="0002402C" w:rsidRDefault="0002402C" w:rsidP="009032FB">
      <w:pPr>
        <w:rPr>
          <w:rFonts w:ascii="Calibri" w:hAnsi="Calibri" w:cs="Arial"/>
          <w:sz w:val="22"/>
        </w:rPr>
      </w:pPr>
      <w:r w:rsidRPr="00490651">
        <w:rPr>
          <w:rFonts w:ascii="Calibri" w:hAnsi="Calibri" w:cs="Arial"/>
          <w:sz w:val="22"/>
        </w:rPr>
        <w:t xml:space="preserve">PPGL </w:t>
      </w:r>
      <w:r w:rsidR="000B1155" w:rsidRPr="00490651">
        <w:rPr>
          <w:rFonts w:ascii="Calibri" w:hAnsi="Calibri" w:cs="Arial"/>
          <w:sz w:val="22"/>
        </w:rPr>
        <w:t>–</w:t>
      </w:r>
      <w:r w:rsidRPr="00490651">
        <w:rPr>
          <w:rFonts w:ascii="Calibri" w:hAnsi="Calibri" w:cs="Arial"/>
          <w:sz w:val="22"/>
        </w:rPr>
        <w:t xml:space="preserve"> </w:t>
      </w:r>
      <w:r w:rsidR="000B1155" w:rsidRPr="00490651">
        <w:rPr>
          <w:rFonts w:ascii="Calibri" w:hAnsi="Calibri" w:cs="Arial"/>
          <w:sz w:val="22"/>
        </w:rPr>
        <w:t>phaeochromocytoma and sympathetic paraganglioma</w:t>
      </w:r>
      <w:r w:rsidRPr="00490651">
        <w:rPr>
          <w:rFonts w:ascii="Calibri" w:hAnsi="Calibri" w:cs="Arial"/>
          <w:sz w:val="22"/>
        </w:rPr>
        <w:t xml:space="preserve">; HNPGL – </w:t>
      </w:r>
      <w:r w:rsidR="000B1155" w:rsidRPr="00490651">
        <w:rPr>
          <w:rFonts w:ascii="Calibri" w:hAnsi="Calibri" w:cs="Arial"/>
          <w:sz w:val="22"/>
        </w:rPr>
        <w:t>head and neck paraganglioma.</w:t>
      </w:r>
      <w:r w:rsidR="000B1155">
        <w:rPr>
          <w:rFonts w:ascii="Calibri" w:hAnsi="Calibri" w:cs="Arial"/>
          <w:sz w:val="22"/>
        </w:rPr>
        <w:t xml:space="preserve"> </w:t>
      </w:r>
    </w:p>
    <w:p w14:paraId="4AA26A87" w14:textId="53DD88F2" w:rsidR="000A6668" w:rsidRDefault="000A6668">
      <w:pPr>
        <w:widowControl/>
        <w:suppressAutoHyphens w:val="0"/>
        <w:rPr>
          <w:rFonts w:ascii="Calibri" w:hAnsi="Calibri" w:cs="Arial"/>
          <w:sz w:val="22"/>
        </w:rPr>
      </w:pPr>
      <w:r>
        <w:rPr>
          <w:rFonts w:ascii="Calibri" w:hAnsi="Calibri" w:cs="Arial"/>
          <w:sz w:val="22"/>
        </w:rPr>
        <w:br w:type="page"/>
      </w:r>
    </w:p>
    <w:p w14:paraId="26357860" w14:textId="77777777" w:rsidR="000A6668" w:rsidRDefault="000A6668" w:rsidP="009032FB">
      <w:pPr>
        <w:rPr>
          <w:rFonts w:ascii="Times" w:hAnsi="Times"/>
          <w:color w:val="000000"/>
        </w:rPr>
        <w:sectPr w:rsidR="000A6668" w:rsidSect="005D6D2F">
          <w:pgSz w:w="16838" w:h="11906" w:orient="landscape"/>
          <w:pgMar w:top="1134" w:right="1134" w:bottom="1134" w:left="1134" w:header="720" w:footer="720" w:gutter="0"/>
          <w:cols w:space="720"/>
        </w:sectPr>
      </w:pPr>
    </w:p>
    <w:p w14:paraId="04E346C7" w14:textId="77777777" w:rsidR="000A6668" w:rsidRDefault="000A6668" w:rsidP="000B1155">
      <w:pPr>
        <w:widowControl/>
        <w:suppressAutoHyphens w:val="0"/>
        <w:rPr>
          <w:rFonts w:ascii="Times" w:hAnsi="Times"/>
          <w:color w:val="000000"/>
        </w:rPr>
      </w:pPr>
      <w:proofErr w:type="spellStart"/>
      <w:r w:rsidRPr="00163A52">
        <w:rPr>
          <w:rStyle w:val="Heading1Char"/>
        </w:rPr>
        <w:t>eTables</w:t>
      </w:r>
      <w:proofErr w:type="spellEnd"/>
      <w:r>
        <w:rPr>
          <w:rFonts w:ascii="Times" w:hAnsi="Times"/>
          <w:color w:val="000000"/>
        </w:rPr>
        <w:t xml:space="preserve"> </w:t>
      </w:r>
    </w:p>
    <w:p w14:paraId="26CDA378" w14:textId="77777777" w:rsidR="000A6668" w:rsidRDefault="000A6668" w:rsidP="000B1155">
      <w:pPr>
        <w:widowControl/>
        <w:suppressAutoHyphens w:val="0"/>
        <w:rPr>
          <w:rFonts w:ascii="Times" w:hAnsi="Times"/>
          <w:color w:val="000000"/>
        </w:rPr>
      </w:pPr>
    </w:p>
    <w:p w14:paraId="6A0F0632" w14:textId="75BE8575" w:rsidR="000A6668" w:rsidRDefault="000A6668" w:rsidP="000B1155">
      <w:pPr>
        <w:widowControl/>
        <w:suppressAutoHyphens w:val="0"/>
        <w:rPr>
          <w:rFonts w:ascii="Calibri" w:hAnsi="Calibri" w:cs="Arial"/>
          <w:bCs/>
          <w:color w:val="000000"/>
          <w:sz w:val="22"/>
          <w:szCs w:val="22"/>
        </w:rPr>
      </w:pPr>
      <w:proofErr w:type="spellStart"/>
      <w:r w:rsidRPr="00750489">
        <w:rPr>
          <w:rFonts w:ascii="Calibri" w:hAnsi="Calibri" w:cs="Arial"/>
          <w:b/>
          <w:bCs/>
          <w:color w:val="000000"/>
          <w:sz w:val="22"/>
          <w:szCs w:val="22"/>
        </w:rPr>
        <w:t>e</w:t>
      </w:r>
      <w:r>
        <w:rPr>
          <w:rFonts w:ascii="Calibri" w:hAnsi="Calibri" w:cs="Arial"/>
          <w:b/>
          <w:bCs/>
          <w:color w:val="000000"/>
          <w:sz w:val="22"/>
          <w:szCs w:val="22"/>
        </w:rPr>
        <w:t>Table</w:t>
      </w:r>
      <w:proofErr w:type="spellEnd"/>
      <w:r>
        <w:rPr>
          <w:rFonts w:ascii="Calibri" w:hAnsi="Calibri" w:cs="Arial"/>
          <w:b/>
          <w:bCs/>
          <w:color w:val="000000"/>
          <w:sz w:val="22"/>
          <w:szCs w:val="22"/>
        </w:rPr>
        <w:t xml:space="preserve"> 1</w:t>
      </w:r>
      <w:r w:rsidRPr="00750489">
        <w:rPr>
          <w:rFonts w:ascii="Calibri" w:hAnsi="Calibri" w:cs="Arial"/>
          <w:b/>
          <w:bCs/>
          <w:color w:val="000000"/>
          <w:sz w:val="22"/>
          <w:szCs w:val="22"/>
        </w:rPr>
        <w:t xml:space="preserve">. </w:t>
      </w:r>
      <w:r>
        <w:rPr>
          <w:rFonts w:ascii="Calibri" w:hAnsi="Calibri" w:cs="Arial"/>
          <w:bCs/>
          <w:color w:val="000000"/>
          <w:sz w:val="22"/>
          <w:szCs w:val="22"/>
        </w:rPr>
        <w:t xml:space="preserve">Large copy number </w:t>
      </w:r>
      <w:r w:rsidR="00532A25">
        <w:rPr>
          <w:rFonts w:ascii="Calibri" w:hAnsi="Calibri" w:cs="Arial"/>
          <w:bCs/>
          <w:color w:val="000000"/>
          <w:sz w:val="22"/>
          <w:szCs w:val="22"/>
        </w:rPr>
        <w:t>abnormalities</w:t>
      </w:r>
      <w:r>
        <w:rPr>
          <w:rFonts w:ascii="Calibri" w:hAnsi="Calibri" w:cs="Arial"/>
          <w:bCs/>
          <w:color w:val="000000"/>
          <w:sz w:val="22"/>
          <w:szCs w:val="22"/>
        </w:rPr>
        <w:t xml:space="preserve"> </w:t>
      </w:r>
      <w:r w:rsidR="00532A25">
        <w:rPr>
          <w:rFonts w:ascii="Calibri" w:hAnsi="Calibri" w:cs="Arial"/>
          <w:bCs/>
          <w:color w:val="000000"/>
          <w:sz w:val="22"/>
          <w:szCs w:val="22"/>
        </w:rPr>
        <w:t>(CNA</w:t>
      </w:r>
      <w:r w:rsidR="00734802">
        <w:rPr>
          <w:rFonts w:ascii="Calibri" w:hAnsi="Calibri" w:cs="Arial"/>
          <w:bCs/>
          <w:color w:val="000000"/>
          <w:sz w:val="22"/>
          <w:szCs w:val="22"/>
        </w:rPr>
        <w:t xml:space="preserve">s) </w:t>
      </w:r>
      <w:r>
        <w:rPr>
          <w:rFonts w:ascii="Calibri" w:hAnsi="Calibri" w:cs="Arial"/>
          <w:bCs/>
          <w:color w:val="000000"/>
          <w:sz w:val="22"/>
          <w:szCs w:val="22"/>
        </w:rPr>
        <w:t xml:space="preserve">in </w:t>
      </w:r>
      <w:r w:rsidRPr="000A6668">
        <w:rPr>
          <w:rFonts w:ascii="Calibri" w:hAnsi="Calibri" w:cs="Arial"/>
          <w:bCs/>
          <w:i/>
          <w:color w:val="000000"/>
          <w:sz w:val="22"/>
          <w:szCs w:val="22"/>
        </w:rPr>
        <w:t>SDHB</w:t>
      </w:r>
      <w:r>
        <w:rPr>
          <w:rFonts w:ascii="Calibri" w:hAnsi="Calibri" w:cs="Arial"/>
          <w:bCs/>
          <w:color w:val="000000"/>
          <w:sz w:val="22"/>
          <w:szCs w:val="22"/>
        </w:rPr>
        <w:t xml:space="preserve">, </w:t>
      </w:r>
      <w:r w:rsidRPr="000A6668">
        <w:rPr>
          <w:rFonts w:ascii="Calibri" w:hAnsi="Calibri" w:cs="Arial"/>
          <w:bCs/>
          <w:i/>
          <w:color w:val="000000"/>
          <w:sz w:val="22"/>
          <w:szCs w:val="22"/>
        </w:rPr>
        <w:t>SDHC</w:t>
      </w:r>
      <w:r>
        <w:rPr>
          <w:rFonts w:ascii="Calibri" w:hAnsi="Calibri" w:cs="Arial"/>
          <w:bCs/>
          <w:color w:val="000000"/>
          <w:sz w:val="22"/>
          <w:szCs w:val="22"/>
        </w:rPr>
        <w:t xml:space="preserve"> and </w:t>
      </w:r>
      <w:r w:rsidRPr="000A6668">
        <w:rPr>
          <w:rFonts w:ascii="Calibri" w:hAnsi="Calibri" w:cs="Arial"/>
          <w:bCs/>
          <w:i/>
          <w:color w:val="000000"/>
          <w:sz w:val="22"/>
          <w:szCs w:val="22"/>
        </w:rPr>
        <w:t>SDHD</w:t>
      </w:r>
      <w:r>
        <w:rPr>
          <w:rFonts w:ascii="Calibri" w:hAnsi="Calibri" w:cs="Arial"/>
          <w:bCs/>
          <w:color w:val="000000"/>
          <w:sz w:val="22"/>
          <w:szCs w:val="22"/>
        </w:rPr>
        <w:t xml:space="preserve"> found in this cohort.</w:t>
      </w:r>
      <w:r w:rsidR="00734802">
        <w:rPr>
          <w:rFonts w:ascii="Calibri" w:hAnsi="Calibri" w:cs="Arial"/>
          <w:bCs/>
          <w:color w:val="000000"/>
          <w:sz w:val="22"/>
          <w:szCs w:val="22"/>
        </w:rPr>
        <w:t xml:space="preserve"> The percentage in the final column represents the proportion of probands who have the deletion or duplication in question out of all probands with large CN</w:t>
      </w:r>
      <w:r w:rsidR="00532A25">
        <w:rPr>
          <w:rFonts w:ascii="Calibri" w:hAnsi="Calibri" w:cs="Arial"/>
          <w:bCs/>
          <w:color w:val="000000"/>
          <w:sz w:val="22"/>
          <w:szCs w:val="22"/>
        </w:rPr>
        <w:t>A</w:t>
      </w:r>
      <w:r w:rsidR="00734802">
        <w:rPr>
          <w:rFonts w:ascii="Calibri" w:hAnsi="Calibri" w:cs="Arial"/>
          <w:bCs/>
          <w:color w:val="000000"/>
          <w:sz w:val="22"/>
          <w:szCs w:val="22"/>
        </w:rPr>
        <w:t>s in that gene.</w:t>
      </w:r>
    </w:p>
    <w:p w14:paraId="276CACB2" w14:textId="77777777" w:rsidR="00734802" w:rsidRDefault="00734802" w:rsidP="000B1155">
      <w:pPr>
        <w:widowControl/>
        <w:suppressAutoHyphens w:val="0"/>
        <w:rPr>
          <w:rFonts w:ascii="Calibri" w:hAnsi="Calibri" w:cs="Arial"/>
          <w:bCs/>
          <w:color w:val="000000"/>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1629"/>
        <w:gridCol w:w="3921"/>
      </w:tblGrid>
      <w:tr w:rsidR="00C3673E" w:rsidRPr="00734802" w14:paraId="4E81F7B4" w14:textId="77777777" w:rsidTr="00734802">
        <w:trPr>
          <w:trHeight w:val="300"/>
        </w:trPr>
        <w:tc>
          <w:tcPr>
            <w:tcW w:w="2922" w:type="dxa"/>
            <w:shd w:val="clear" w:color="auto" w:fill="auto"/>
            <w:noWrap/>
            <w:vAlign w:val="bottom"/>
            <w:hideMark/>
          </w:tcPr>
          <w:p w14:paraId="1EAFA8CE" w14:textId="2EC8CD42" w:rsidR="00C3673E" w:rsidRPr="00F22745" w:rsidRDefault="00532A25" w:rsidP="00C3673E">
            <w:pPr>
              <w:widowControl/>
              <w:suppressAutoHyphens w:val="0"/>
              <w:rPr>
                <w:rFonts w:ascii="Calibri" w:hAnsi="Calibri"/>
                <w:b/>
              </w:rPr>
            </w:pPr>
            <w:r w:rsidRPr="00F22745">
              <w:rPr>
                <w:rFonts w:ascii="Calibri" w:hAnsi="Calibri"/>
                <w:b/>
              </w:rPr>
              <w:t>Large CNA</w:t>
            </w:r>
          </w:p>
        </w:tc>
        <w:tc>
          <w:tcPr>
            <w:tcW w:w="1629" w:type="dxa"/>
            <w:shd w:val="clear" w:color="auto" w:fill="auto"/>
            <w:noWrap/>
            <w:vAlign w:val="bottom"/>
            <w:hideMark/>
          </w:tcPr>
          <w:p w14:paraId="53EB9FC8" w14:textId="77777777" w:rsidR="00C3673E" w:rsidRPr="00F22745" w:rsidRDefault="00C3673E" w:rsidP="00C3673E">
            <w:pPr>
              <w:widowControl/>
              <w:suppressAutoHyphens w:val="0"/>
              <w:rPr>
                <w:rFonts w:ascii="Calibri" w:hAnsi="Calibri"/>
                <w:b/>
              </w:rPr>
            </w:pPr>
            <w:r w:rsidRPr="00F22745">
              <w:rPr>
                <w:rFonts w:ascii="Calibri" w:hAnsi="Calibri"/>
                <w:b/>
              </w:rPr>
              <w:t>No. probands</w:t>
            </w:r>
          </w:p>
        </w:tc>
        <w:tc>
          <w:tcPr>
            <w:tcW w:w="3921" w:type="dxa"/>
            <w:shd w:val="clear" w:color="auto" w:fill="auto"/>
            <w:noWrap/>
            <w:vAlign w:val="bottom"/>
            <w:hideMark/>
          </w:tcPr>
          <w:p w14:paraId="115D974C" w14:textId="3F98CBF2" w:rsidR="00C3673E" w:rsidRPr="00F22745" w:rsidRDefault="00532A25" w:rsidP="00C3673E">
            <w:pPr>
              <w:widowControl/>
              <w:suppressAutoHyphens w:val="0"/>
              <w:rPr>
                <w:rFonts w:ascii="Calibri" w:hAnsi="Calibri"/>
                <w:b/>
              </w:rPr>
            </w:pPr>
            <w:r w:rsidRPr="00F22745">
              <w:rPr>
                <w:rFonts w:ascii="Calibri" w:hAnsi="Calibri"/>
                <w:b/>
              </w:rPr>
              <w:t>Proportion large CNA</w:t>
            </w:r>
            <w:r w:rsidR="00C3673E" w:rsidRPr="00F22745">
              <w:rPr>
                <w:rFonts w:ascii="Calibri" w:hAnsi="Calibri"/>
                <w:b/>
              </w:rPr>
              <w:t xml:space="preserve"> probands for gene</w:t>
            </w:r>
          </w:p>
        </w:tc>
      </w:tr>
      <w:tr w:rsidR="00C3673E" w:rsidRPr="00734802" w14:paraId="4FB0E555" w14:textId="77777777" w:rsidTr="00734802">
        <w:trPr>
          <w:trHeight w:val="300"/>
        </w:trPr>
        <w:tc>
          <w:tcPr>
            <w:tcW w:w="2922" w:type="dxa"/>
            <w:shd w:val="clear" w:color="auto" w:fill="auto"/>
            <w:noWrap/>
            <w:vAlign w:val="bottom"/>
            <w:hideMark/>
          </w:tcPr>
          <w:p w14:paraId="6B089DF6" w14:textId="77777777" w:rsidR="00C3673E" w:rsidRPr="00F22745" w:rsidRDefault="00C3673E" w:rsidP="00C3673E">
            <w:pPr>
              <w:widowControl/>
              <w:suppressAutoHyphens w:val="0"/>
              <w:rPr>
                <w:rFonts w:ascii="Calibri" w:hAnsi="Calibri"/>
              </w:rPr>
            </w:pPr>
            <w:r w:rsidRPr="00F22745">
              <w:rPr>
                <w:rFonts w:ascii="Calibri" w:hAnsi="Calibri"/>
              </w:rPr>
              <w:t>SDHB Deletion exon 1</w:t>
            </w:r>
          </w:p>
        </w:tc>
        <w:tc>
          <w:tcPr>
            <w:tcW w:w="1629" w:type="dxa"/>
            <w:shd w:val="clear" w:color="auto" w:fill="auto"/>
            <w:noWrap/>
            <w:vAlign w:val="bottom"/>
            <w:hideMark/>
          </w:tcPr>
          <w:p w14:paraId="44A0E3F2" w14:textId="77777777" w:rsidR="00C3673E" w:rsidRPr="00F22745" w:rsidRDefault="00C3673E" w:rsidP="00734802">
            <w:pPr>
              <w:widowControl/>
              <w:suppressAutoHyphens w:val="0"/>
              <w:rPr>
                <w:rFonts w:ascii="Calibri" w:hAnsi="Calibri"/>
              </w:rPr>
            </w:pPr>
            <w:r w:rsidRPr="00F22745">
              <w:rPr>
                <w:rFonts w:ascii="Calibri" w:hAnsi="Calibri"/>
              </w:rPr>
              <w:t>17</w:t>
            </w:r>
          </w:p>
        </w:tc>
        <w:tc>
          <w:tcPr>
            <w:tcW w:w="3921" w:type="dxa"/>
            <w:shd w:val="clear" w:color="auto" w:fill="auto"/>
            <w:noWrap/>
            <w:vAlign w:val="bottom"/>
            <w:hideMark/>
          </w:tcPr>
          <w:p w14:paraId="6B55A53C" w14:textId="3C16444A" w:rsidR="00C3673E" w:rsidRPr="00F22745" w:rsidRDefault="00C3673E" w:rsidP="00734802">
            <w:pPr>
              <w:widowControl/>
              <w:suppressAutoHyphens w:val="0"/>
              <w:rPr>
                <w:rFonts w:ascii="Calibri" w:hAnsi="Calibri"/>
              </w:rPr>
            </w:pPr>
            <w:r w:rsidRPr="00F22745">
              <w:rPr>
                <w:rFonts w:ascii="Calibri" w:hAnsi="Calibri"/>
              </w:rPr>
              <w:t>4</w:t>
            </w:r>
            <w:r w:rsidR="00F22745">
              <w:rPr>
                <w:rFonts w:ascii="Calibri" w:hAnsi="Calibri"/>
              </w:rPr>
              <w:t>9</w:t>
            </w:r>
            <w:r w:rsidRPr="00F22745">
              <w:rPr>
                <w:rFonts w:ascii="Calibri" w:hAnsi="Calibri"/>
              </w:rPr>
              <w:t>%</w:t>
            </w:r>
          </w:p>
        </w:tc>
      </w:tr>
      <w:tr w:rsidR="00C3673E" w:rsidRPr="00734802" w14:paraId="6F7C8780" w14:textId="77777777" w:rsidTr="00734802">
        <w:trPr>
          <w:trHeight w:val="300"/>
        </w:trPr>
        <w:tc>
          <w:tcPr>
            <w:tcW w:w="2922" w:type="dxa"/>
            <w:shd w:val="clear" w:color="auto" w:fill="auto"/>
            <w:noWrap/>
            <w:vAlign w:val="bottom"/>
            <w:hideMark/>
          </w:tcPr>
          <w:p w14:paraId="505AD581" w14:textId="77777777" w:rsidR="00C3673E" w:rsidRPr="00F22745" w:rsidRDefault="00C3673E" w:rsidP="00C3673E">
            <w:pPr>
              <w:widowControl/>
              <w:suppressAutoHyphens w:val="0"/>
              <w:rPr>
                <w:rFonts w:ascii="Calibri" w:hAnsi="Calibri"/>
              </w:rPr>
            </w:pPr>
            <w:r w:rsidRPr="00F22745">
              <w:rPr>
                <w:rFonts w:ascii="Calibri" w:hAnsi="Calibri"/>
              </w:rPr>
              <w:t>SDHB Deletion exon 2</w:t>
            </w:r>
          </w:p>
        </w:tc>
        <w:tc>
          <w:tcPr>
            <w:tcW w:w="1629" w:type="dxa"/>
            <w:shd w:val="clear" w:color="auto" w:fill="auto"/>
            <w:noWrap/>
            <w:vAlign w:val="bottom"/>
            <w:hideMark/>
          </w:tcPr>
          <w:p w14:paraId="47BD97B8" w14:textId="77777777" w:rsidR="00C3673E" w:rsidRPr="00F22745" w:rsidRDefault="00C3673E" w:rsidP="00734802">
            <w:pPr>
              <w:widowControl/>
              <w:suppressAutoHyphens w:val="0"/>
              <w:rPr>
                <w:rFonts w:ascii="Calibri" w:hAnsi="Calibri"/>
              </w:rPr>
            </w:pPr>
            <w:r w:rsidRPr="00F22745">
              <w:rPr>
                <w:rFonts w:ascii="Calibri" w:hAnsi="Calibri"/>
              </w:rPr>
              <w:t>2</w:t>
            </w:r>
          </w:p>
        </w:tc>
        <w:tc>
          <w:tcPr>
            <w:tcW w:w="3921" w:type="dxa"/>
            <w:shd w:val="clear" w:color="auto" w:fill="auto"/>
            <w:noWrap/>
            <w:vAlign w:val="bottom"/>
            <w:hideMark/>
          </w:tcPr>
          <w:p w14:paraId="4F725039" w14:textId="3D46A8B2" w:rsidR="00C3673E" w:rsidRPr="00F22745" w:rsidRDefault="00C3673E" w:rsidP="00F22745">
            <w:pPr>
              <w:widowControl/>
              <w:suppressAutoHyphens w:val="0"/>
              <w:rPr>
                <w:rFonts w:ascii="Calibri" w:hAnsi="Calibri"/>
              </w:rPr>
            </w:pPr>
            <w:r w:rsidRPr="00F22745">
              <w:rPr>
                <w:rFonts w:ascii="Calibri" w:hAnsi="Calibri"/>
              </w:rPr>
              <w:t>5.</w:t>
            </w:r>
            <w:r w:rsidR="00F22745">
              <w:rPr>
                <w:rFonts w:ascii="Calibri" w:hAnsi="Calibri"/>
              </w:rPr>
              <w:t>5</w:t>
            </w:r>
            <w:r w:rsidRPr="00F22745">
              <w:rPr>
                <w:rFonts w:ascii="Calibri" w:hAnsi="Calibri"/>
              </w:rPr>
              <w:t>%</w:t>
            </w:r>
          </w:p>
        </w:tc>
      </w:tr>
      <w:tr w:rsidR="00C3673E" w:rsidRPr="00734802" w14:paraId="2A8F0B65" w14:textId="77777777" w:rsidTr="00734802">
        <w:trPr>
          <w:trHeight w:val="300"/>
        </w:trPr>
        <w:tc>
          <w:tcPr>
            <w:tcW w:w="2922" w:type="dxa"/>
            <w:shd w:val="clear" w:color="auto" w:fill="auto"/>
            <w:noWrap/>
            <w:vAlign w:val="bottom"/>
            <w:hideMark/>
          </w:tcPr>
          <w:p w14:paraId="17672FD1" w14:textId="77777777" w:rsidR="00C3673E" w:rsidRPr="00F22745" w:rsidRDefault="00C3673E" w:rsidP="00C3673E">
            <w:pPr>
              <w:widowControl/>
              <w:suppressAutoHyphens w:val="0"/>
              <w:rPr>
                <w:rFonts w:ascii="Calibri" w:hAnsi="Calibri"/>
              </w:rPr>
            </w:pPr>
            <w:r w:rsidRPr="00F22745">
              <w:rPr>
                <w:rFonts w:ascii="Calibri" w:hAnsi="Calibri"/>
              </w:rPr>
              <w:t>SDHB Deletion exon 3</w:t>
            </w:r>
          </w:p>
        </w:tc>
        <w:tc>
          <w:tcPr>
            <w:tcW w:w="1629" w:type="dxa"/>
            <w:shd w:val="clear" w:color="auto" w:fill="auto"/>
            <w:noWrap/>
            <w:vAlign w:val="bottom"/>
            <w:hideMark/>
          </w:tcPr>
          <w:p w14:paraId="6CA21135" w14:textId="77777777" w:rsidR="00C3673E" w:rsidRPr="00F22745" w:rsidRDefault="00C3673E" w:rsidP="00734802">
            <w:pPr>
              <w:widowControl/>
              <w:suppressAutoHyphens w:val="0"/>
              <w:rPr>
                <w:rFonts w:ascii="Calibri" w:hAnsi="Calibri"/>
              </w:rPr>
            </w:pPr>
            <w:r w:rsidRPr="00F22745">
              <w:rPr>
                <w:rFonts w:ascii="Calibri" w:hAnsi="Calibri"/>
              </w:rPr>
              <w:t>5</w:t>
            </w:r>
          </w:p>
        </w:tc>
        <w:tc>
          <w:tcPr>
            <w:tcW w:w="3921" w:type="dxa"/>
            <w:shd w:val="clear" w:color="auto" w:fill="auto"/>
            <w:noWrap/>
            <w:vAlign w:val="bottom"/>
            <w:hideMark/>
          </w:tcPr>
          <w:p w14:paraId="207B0582" w14:textId="77777777" w:rsidR="00C3673E" w:rsidRPr="00F22745" w:rsidRDefault="00C3673E" w:rsidP="00734802">
            <w:pPr>
              <w:widowControl/>
              <w:suppressAutoHyphens w:val="0"/>
              <w:rPr>
                <w:rFonts w:ascii="Calibri" w:hAnsi="Calibri"/>
              </w:rPr>
            </w:pPr>
            <w:r w:rsidRPr="00F22745">
              <w:rPr>
                <w:rFonts w:ascii="Calibri" w:hAnsi="Calibri"/>
              </w:rPr>
              <w:t>14%</w:t>
            </w:r>
          </w:p>
        </w:tc>
      </w:tr>
      <w:tr w:rsidR="00C3673E" w:rsidRPr="00734802" w14:paraId="2277BA37" w14:textId="77777777" w:rsidTr="00734802">
        <w:trPr>
          <w:trHeight w:val="300"/>
        </w:trPr>
        <w:tc>
          <w:tcPr>
            <w:tcW w:w="2922" w:type="dxa"/>
            <w:shd w:val="clear" w:color="auto" w:fill="auto"/>
            <w:noWrap/>
            <w:vAlign w:val="bottom"/>
            <w:hideMark/>
          </w:tcPr>
          <w:p w14:paraId="4CB4D9E3" w14:textId="77777777" w:rsidR="00C3673E" w:rsidRPr="00F22745" w:rsidRDefault="00C3673E" w:rsidP="00C3673E">
            <w:pPr>
              <w:widowControl/>
              <w:suppressAutoHyphens w:val="0"/>
              <w:rPr>
                <w:rFonts w:ascii="Calibri" w:hAnsi="Calibri"/>
              </w:rPr>
            </w:pPr>
            <w:r w:rsidRPr="00F22745">
              <w:rPr>
                <w:rFonts w:ascii="Calibri" w:hAnsi="Calibri"/>
              </w:rPr>
              <w:t>SDHB Deletion exon 8</w:t>
            </w:r>
          </w:p>
        </w:tc>
        <w:tc>
          <w:tcPr>
            <w:tcW w:w="1629" w:type="dxa"/>
            <w:shd w:val="clear" w:color="auto" w:fill="auto"/>
            <w:noWrap/>
            <w:vAlign w:val="bottom"/>
            <w:hideMark/>
          </w:tcPr>
          <w:p w14:paraId="5117BC25" w14:textId="77777777" w:rsidR="00C3673E" w:rsidRPr="00F22745" w:rsidRDefault="00C3673E" w:rsidP="00734802">
            <w:pPr>
              <w:widowControl/>
              <w:suppressAutoHyphens w:val="0"/>
              <w:rPr>
                <w:rFonts w:ascii="Calibri" w:hAnsi="Calibri"/>
              </w:rPr>
            </w:pPr>
            <w:r w:rsidRPr="00F22745">
              <w:rPr>
                <w:rFonts w:ascii="Calibri" w:hAnsi="Calibri"/>
              </w:rPr>
              <w:t>3</w:t>
            </w:r>
          </w:p>
        </w:tc>
        <w:tc>
          <w:tcPr>
            <w:tcW w:w="3921" w:type="dxa"/>
            <w:shd w:val="clear" w:color="auto" w:fill="auto"/>
            <w:noWrap/>
            <w:vAlign w:val="bottom"/>
            <w:hideMark/>
          </w:tcPr>
          <w:p w14:paraId="1699B9C0" w14:textId="5AC27806" w:rsidR="00C3673E" w:rsidRPr="00F22745" w:rsidRDefault="00C3673E" w:rsidP="00F22745">
            <w:pPr>
              <w:widowControl/>
              <w:suppressAutoHyphens w:val="0"/>
              <w:rPr>
                <w:rFonts w:ascii="Calibri" w:hAnsi="Calibri"/>
              </w:rPr>
            </w:pPr>
            <w:r w:rsidRPr="00F22745">
              <w:rPr>
                <w:rFonts w:ascii="Calibri" w:hAnsi="Calibri"/>
              </w:rPr>
              <w:t>8.</w:t>
            </w:r>
            <w:r w:rsidR="00F22745">
              <w:rPr>
                <w:rFonts w:ascii="Calibri" w:hAnsi="Calibri"/>
              </w:rPr>
              <w:t>3</w:t>
            </w:r>
            <w:r w:rsidRPr="00F22745">
              <w:rPr>
                <w:rFonts w:ascii="Calibri" w:hAnsi="Calibri"/>
              </w:rPr>
              <w:t>%</w:t>
            </w:r>
          </w:p>
        </w:tc>
      </w:tr>
      <w:tr w:rsidR="00C3673E" w:rsidRPr="00734802" w14:paraId="63E97D16" w14:textId="77777777" w:rsidTr="00734802">
        <w:trPr>
          <w:trHeight w:val="300"/>
        </w:trPr>
        <w:tc>
          <w:tcPr>
            <w:tcW w:w="2922" w:type="dxa"/>
            <w:shd w:val="clear" w:color="auto" w:fill="auto"/>
            <w:noWrap/>
            <w:vAlign w:val="bottom"/>
            <w:hideMark/>
          </w:tcPr>
          <w:p w14:paraId="662FA40C" w14:textId="77777777" w:rsidR="00C3673E" w:rsidRPr="00F22745" w:rsidRDefault="00C3673E" w:rsidP="00C3673E">
            <w:pPr>
              <w:widowControl/>
              <w:suppressAutoHyphens w:val="0"/>
              <w:rPr>
                <w:rFonts w:ascii="Calibri" w:hAnsi="Calibri"/>
              </w:rPr>
            </w:pPr>
            <w:r w:rsidRPr="00F22745">
              <w:rPr>
                <w:rFonts w:ascii="Calibri" w:hAnsi="Calibri"/>
              </w:rPr>
              <w:t>SDHB Deletion exons 1-2</w:t>
            </w:r>
          </w:p>
        </w:tc>
        <w:tc>
          <w:tcPr>
            <w:tcW w:w="1629" w:type="dxa"/>
            <w:shd w:val="clear" w:color="auto" w:fill="auto"/>
            <w:noWrap/>
            <w:vAlign w:val="bottom"/>
            <w:hideMark/>
          </w:tcPr>
          <w:p w14:paraId="4CB558EB" w14:textId="77777777" w:rsidR="00C3673E" w:rsidRPr="00F22745" w:rsidRDefault="00C3673E" w:rsidP="00734802">
            <w:pPr>
              <w:widowControl/>
              <w:suppressAutoHyphens w:val="0"/>
              <w:rPr>
                <w:rFonts w:ascii="Calibri" w:hAnsi="Calibri"/>
              </w:rPr>
            </w:pPr>
            <w:r w:rsidRPr="00F22745">
              <w:rPr>
                <w:rFonts w:ascii="Calibri" w:hAnsi="Calibri"/>
              </w:rPr>
              <w:t>1</w:t>
            </w:r>
          </w:p>
        </w:tc>
        <w:tc>
          <w:tcPr>
            <w:tcW w:w="3921" w:type="dxa"/>
            <w:shd w:val="clear" w:color="auto" w:fill="auto"/>
            <w:noWrap/>
            <w:vAlign w:val="bottom"/>
            <w:hideMark/>
          </w:tcPr>
          <w:p w14:paraId="6421132C" w14:textId="71836355" w:rsidR="00C3673E" w:rsidRPr="00F22745" w:rsidRDefault="00C3673E" w:rsidP="00F22745">
            <w:pPr>
              <w:widowControl/>
              <w:suppressAutoHyphens w:val="0"/>
              <w:rPr>
                <w:rFonts w:ascii="Calibri" w:hAnsi="Calibri"/>
              </w:rPr>
            </w:pPr>
            <w:r w:rsidRPr="00F22745">
              <w:rPr>
                <w:rFonts w:ascii="Calibri" w:hAnsi="Calibri"/>
              </w:rPr>
              <w:t>2.</w:t>
            </w:r>
            <w:r w:rsidR="00F22745">
              <w:rPr>
                <w:rFonts w:ascii="Calibri" w:hAnsi="Calibri"/>
              </w:rPr>
              <w:t>8</w:t>
            </w:r>
            <w:r w:rsidRPr="00F22745">
              <w:rPr>
                <w:rFonts w:ascii="Calibri" w:hAnsi="Calibri"/>
              </w:rPr>
              <w:t>%</w:t>
            </w:r>
          </w:p>
        </w:tc>
      </w:tr>
      <w:tr w:rsidR="00C3673E" w:rsidRPr="00734802" w14:paraId="6889E68D" w14:textId="77777777" w:rsidTr="00734802">
        <w:trPr>
          <w:trHeight w:val="300"/>
        </w:trPr>
        <w:tc>
          <w:tcPr>
            <w:tcW w:w="2922" w:type="dxa"/>
            <w:shd w:val="clear" w:color="auto" w:fill="auto"/>
            <w:noWrap/>
            <w:vAlign w:val="bottom"/>
            <w:hideMark/>
          </w:tcPr>
          <w:p w14:paraId="0F70A9BC" w14:textId="77777777" w:rsidR="00C3673E" w:rsidRPr="00F22745" w:rsidRDefault="00C3673E" w:rsidP="00C3673E">
            <w:pPr>
              <w:widowControl/>
              <w:suppressAutoHyphens w:val="0"/>
              <w:rPr>
                <w:rFonts w:ascii="Calibri" w:hAnsi="Calibri"/>
              </w:rPr>
            </w:pPr>
            <w:r w:rsidRPr="00F22745">
              <w:rPr>
                <w:rFonts w:ascii="Calibri" w:hAnsi="Calibri"/>
              </w:rPr>
              <w:t>SDHB Deletion exons 2-7</w:t>
            </w:r>
          </w:p>
        </w:tc>
        <w:tc>
          <w:tcPr>
            <w:tcW w:w="1629" w:type="dxa"/>
            <w:shd w:val="clear" w:color="auto" w:fill="auto"/>
            <w:noWrap/>
            <w:vAlign w:val="bottom"/>
            <w:hideMark/>
          </w:tcPr>
          <w:p w14:paraId="702C449F" w14:textId="77777777" w:rsidR="00C3673E" w:rsidRPr="00F22745" w:rsidRDefault="00C3673E" w:rsidP="00734802">
            <w:pPr>
              <w:widowControl/>
              <w:suppressAutoHyphens w:val="0"/>
              <w:rPr>
                <w:rFonts w:ascii="Calibri" w:hAnsi="Calibri"/>
              </w:rPr>
            </w:pPr>
            <w:r w:rsidRPr="00F22745">
              <w:rPr>
                <w:rFonts w:ascii="Calibri" w:hAnsi="Calibri"/>
              </w:rPr>
              <w:t>1</w:t>
            </w:r>
          </w:p>
        </w:tc>
        <w:tc>
          <w:tcPr>
            <w:tcW w:w="3921" w:type="dxa"/>
            <w:shd w:val="clear" w:color="auto" w:fill="auto"/>
            <w:noWrap/>
            <w:vAlign w:val="bottom"/>
            <w:hideMark/>
          </w:tcPr>
          <w:p w14:paraId="6D5171DC" w14:textId="588695F5" w:rsidR="00C3673E" w:rsidRPr="00F22745" w:rsidRDefault="00C3673E" w:rsidP="00F22745">
            <w:pPr>
              <w:widowControl/>
              <w:suppressAutoHyphens w:val="0"/>
              <w:rPr>
                <w:rFonts w:ascii="Calibri" w:hAnsi="Calibri"/>
              </w:rPr>
            </w:pPr>
            <w:r w:rsidRPr="00F22745">
              <w:rPr>
                <w:rFonts w:ascii="Calibri" w:hAnsi="Calibri"/>
              </w:rPr>
              <w:t>2.</w:t>
            </w:r>
            <w:r w:rsidR="00F22745">
              <w:rPr>
                <w:rFonts w:ascii="Calibri" w:hAnsi="Calibri"/>
              </w:rPr>
              <w:t>8</w:t>
            </w:r>
            <w:r w:rsidRPr="00F22745">
              <w:rPr>
                <w:rFonts w:ascii="Calibri" w:hAnsi="Calibri"/>
              </w:rPr>
              <w:t>%</w:t>
            </w:r>
          </w:p>
        </w:tc>
      </w:tr>
      <w:tr w:rsidR="00C3673E" w:rsidRPr="00734802" w14:paraId="28076F7B" w14:textId="77777777" w:rsidTr="00734802">
        <w:trPr>
          <w:trHeight w:val="300"/>
        </w:trPr>
        <w:tc>
          <w:tcPr>
            <w:tcW w:w="2922" w:type="dxa"/>
            <w:shd w:val="clear" w:color="auto" w:fill="auto"/>
            <w:noWrap/>
            <w:vAlign w:val="bottom"/>
            <w:hideMark/>
          </w:tcPr>
          <w:p w14:paraId="0D5EA324" w14:textId="77777777" w:rsidR="00C3673E" w:rsidRPr="00F22745" w:rsidRDefault="00C3673E" w:rsidP="00C3673E">
            <w:pPr>
              <w:widowControl/>
              <w:suppressAutoHyphens w:val="0"/>
              <w:rPr>
                <w:rFonts w:ascii="Calibri" w:hAnsi="Calibri"/>
              </w:rPr>
            </w:pPr>
            <w:r w:rsidRPr="00F22745">
              <w:rPr>
                <w:rFonts w:ascii="Calibri" w:hAnsi="Calibri"/>
              </w:rPr>
              <w:t>SDHB Deletion exons 4-5</w:t>
            </w:r>
          </w:p>
        </w:tc>
        <w:tc>
          <w:tcPr>
            <w:tcW w:w="1629" w:type="dxa"/>
            <w:shd w:val="clear" w:color="auto" w:fill="auto"/>
            <w:noWrap/>
            <w:vAlign w:val="bottom"/>
            <w:hideMark/>
          </w:tcPr>
          <w:p w14:paraId="02A54F7C" w14:textId="77777777" w:rsidR="00C3673E" w:rsidRPr="00F22745" w:rsidRDefault="00C3673E" w:rsidP="00734802">
            <w:pPr>
              <w:widowControl/>
              <w:suppressAutoHyphens w:val="0"/>
              <w:rPr>
                <w:rFonts w:ascii="Calibri" w:hAnsi="Calibri"/>
              </w:rPr>
            </w:pPr>
            <w:r w:rsidRPr="00F22745">
              <w:rPr>
                <w:rFonts w:ascii="Calibri" w:hAnsi="Calibri"/>
              </w:rPr>
              <w:t>2</w:t>
            </w:r>
          </w:p>
        </w:tc>
        <w:tc>
          <w:tcPr>
            <w:tcW w:w="3921" w:type="dxa"/>
            <w:shd w:val="clear" w:color="auto" w:fill="auto"/>
            <w:noWrap/>
            <w:vAlign w:val="bottom"/>
            <w:hideMark/>
          </w:tcPr>
          <w:p w14:paraId="1AE6EC64" w14:textId="3E33CF5D" w:rsidR="00C3673E" w:rsidRPr="00F22745" w:rsidRDefault="00C3673E" w:rsidP="00F22745">
            <w:pPr>
              <w:widowControl/>
              <w:suppressAutoHyphens w:val="0"/>
              <w:rPr>
                <w:rFonts w:ascii="Calibri" w:hAnsi="Calibri"/>
              </w:rPr>
            </w:pPr>
            <w:r w:rsidRPr="00F22745">
              <w:rPr>
                <w:rFonts w:ascii="Calibri" w:hAnsi="Calibri"/>
              </w:rPr>
              <w:t>5.</w:t>
            </w:r>
            <w:r w:rsidR="00F22745">
              <w:rPr>
                <w:rFonts w:ascii="Calibri" w:hAnsi="Calibri"/>
              </w:rPr>
              <w:t>6</w:t>
            </w:r>
            <w:r w:rsidRPr="00F22745">
              <w:rPr>
                <w:rFonts w:ascii="Calibri" w:hAnsi="Calibri"/>
              </w:rPr>
              <w:t>%</w:t>
            </w:r>
          </w:p>
        </w:tc>
      </w:tr>
      <w:tr w:rsidR="00C3673E" w:rsidRPr="00734802" w14:paraId="34D09B35" w14:textId="77777777" w:rsidTr="00734802">
        <w:trPr>
          <w:trHeight w:val="300"/>
        </w:trPr>
        <w:tc>
          <w:tcPr>
            <w:tcW w:w="2922" w:type="dxa"/>
            <w:shd w:val="clear" w:color="auto" w:fill="auto"/>
            <w:noWrap/>
            <w:vAlign w:val="bottom"/>
            <w:hideMark/>
          </w:tcPr>
          <w:p w14:paraId="404C802D" w14:textId="77777777" w:rsidR="00C3673E" w:rsidRPr="00F22745" w:rsidRDefault="00C3673E" w:rsidP="00C3673E">
            <w:pPr>
              <w:widowControl/>
              <w:suppressAutoHyphens w:val="0"/>
              <w:rPr>
                <w:rFonts w:ascii="Calibri" w:hAnsi="Calibri"/>
              </w:rPr>
            </w:pPr>
            <w:r w:rsidRPr="00F22745">
              <w:rPr>
                <w:rFonts w:ascii="Calibri" w:hAnsi="Calibri"/>
              </w:rPr>
              <w:t>SDHB Deletion whole gene</w:t>
            </w:r>
          </w:p>
        </w:tc>
        <w:tc>
          <w:tcPr>
            <w:tcW w:w="1629" w:type="dxa"/>
            <w:shd w:val="clear" w:color="auto" w:fill="auto"/>
            <w:noWrap/>
            <w:vAlign w:val="bottom"/>
            <w:hideMark/>
          </w:tcPr>
          <w:p w14:paraId="51DE048E" w14:textId="77777777" w:rsidR="00C3673E" w:rsidRPr="00F22745" w:rsidRDefault="00C3673E" w:rsidP="00734802">
            <w:pPr>
              <w:widowControl/>
              <w:suppressAutoHyphens w:val="0"/>
              <w:rPr>
                <w:rFonts w:ascii="Calibri" w:hAnsi="Calibri"/>
              </w:rPr>
            </w:pPr>
            <w:r w:rsidRPr="00F22745">
              <w:rPr>
                <w:rFonts w:ascii="Calibri" w:hAnsi="Calibri"/>
              </w:rPr>
              <w:t>2</w:t>
            </w:r>
          </w:p>
        </w:tc>
        <w:tc>
          <w:tcPr>
            <w:tcW w:w="3921" w:type="dxa"/>
            <w:shd w:val="clear" w:color="auto" w:fill="auto"/>
            <w:noWrap/>
            <w:vAlign w:val="bottom"/>
            <w:hideMark/>
          </w:tcPr>
          <w:p w14:paraId="4D619CFE" w14:textId="64A70A2F" w:rsidR="00C3673E" w:rsidRPr="00F22745" w:rsidRDefault="00C3673E" w:rsidP="00F22745">
            <w:pPr>
              <w:widowControl/>
              <w:suppressAutoHyphens w:val="0"/>
              <w:rPr>
                <w:rFonts w:ascii="Calibri" w:hAnsi="Calibri"/>
              </w:rPr>
            </w:pPr>
            <w:r w:rsidRPr="00F22745">
              <w:rPr>
                <w:rFonts w:ascii="Calibri" w:hAnsi="Calibri"/>
              </w:rPr>
              <w:t>5.</w:t>
            </w:r>
            <w:r w:rsidR="00F22745">
              <w:rPr>
                <w:rFonts w:ascii="Calibri" w:hAnsi="Calibri"/>
              </w:rPr>
              <w:t>6</w:t>
            </w:r>
            <w:r w:rsidRPr="00F22745">
              <w:rPr>
                <w:rFonts w:ascii="Calibri" w:hAnsi="Calibri"/>
              </w:rPr>
              <w:t>%</w:t>
            </w:r>
          </w:p>
        </w:tc>
      </w:tr>
      <w:tr w:rsidR="00C3673E" w:rsidRPr="00734802" w14:paraId="77DDBC76" w14:textId="77777777" w:rsidTr="00734802">
        <w:trPr>
          <w:trHeight w:val="300"/>
        </w:trPr>
        <w:tc>
          <w:tcPr>
            <w:tcW w:w="2922" w:type="dxa"/>
            <w:shd w:val="clear" w:color="auto" w:fill="auto"/>
            <w:noWrap/>
            <w:vAlign w:val="bottom"/>
            <w:hideMark/>
          </w:tcPr>
          <w:p w14:paraId="41DF1F6A" w14:textId="77777777" w:rsidR="00C3673E" w:rsidRPr="00F22745" w:rsidRDefault="00C3673E" w:rsidP="00C3673E">
            <w:pPr>
              <w:widowControl/>
              <w:suppressAutoHyphens w:val="0"/>
              <w:rPr>
                <w:rFonts w:ascii="Calibri" w:hAnsi="Calibri"/>
              </w:rPr>
            </w:pPr>
            <w:r w:rsidRPr="00F22745">
              <w:rPr>
                <w:rFonts w:ascii="Calibri" w:hAnsi="Calibri"/>
              </w:rPr>
              <w:t>SDHB Duplication exon 1</w:t>
            </w:r>
          </w:p>
        </w:tc>
        <w:tc>
          <w:tcPr>
            <w:tcW w:w="1629" w:type="dxa"/>
            <w:shd w:val="clear" w:color="auto" w:fill="auto"/>
            <w:noWrap/>
            <w:vAlign w:val="bottom"/>
            <w:hideMark/>
          </w:tcPr>
          <w:p w14:paraId="27C4F336" w14:textId="77777777" w:rsidR="00C3673E" w:rsidRPr="00F22745" w:rsidRDefault="00C3673E" w:rsidP="00734802">
            <w:pPr>
              <w:widowControl/>
              <w:suppressAutoHyphens w:val="0"/>
              <w:rPr>
                <w:rFonts w:ascii="Calibri" w:hAnsi="Calibri"/>
              </w:rPr>
            </w:pPr>
            <w:r w:rsidRPr="00F22745">
              <w:rPr>
                <w:rFonts w:ascii="Calibri" w:hAnsi="Calibri"/>
              </w:rPr>
              <w:t>1</w:t>
            </w:r>
          </w:p>
        </w:tc>
        <w:tc>
          <w:tcPr>
            <w:tcW w:w="3921" w:type="dxa"/>
            <w:shd w:val="clear" w:color="auto" w:fill="auto"/>
            <w:noWrap/>
            <w:vAlign w:val="bottom"/>
            <w:hideMark/>
          </w:tcPr>
          <w:p w14:paraId="49B31FF4" w14:textId="773EA063" w:rsidR="00C3673E" w:rsidRPr="00F22745" w:rsidRDefault="00C3673E" w:rsidP="00F22745">
            <w:pPr>
              <w:widowControl/>
              <w:suppressAutoHyphens w:val="0"/>
              <w:rPr>
                <w:rFonts w:ascii="Calibri" w:hAnsi="Calibri"/>
              </w:rPr>
            </w:pPr>
            <w:r w:rsidRPr="00F22745">
              <w:rPr>
                <w:rFonts w:ascii="Calibri" w:hAnsi="Calibri"/>
              </w:rPr>
              <w:t>2.</w:t>
            </w:r>
            <w:r w:rsidR="00F22745">
              <w:rPr>
                <w:rFonts w:ascii="Calibri" w:hAnsi="Calibri"/>
              </w:rPr>
              <w:t>8</w:t>
            </w:r>
            <w:r w:rsidRPr="00F22745">
              <w:rPr>
                <w:rFonts w:ascii="Calibri" w:hAnsi="Calibri"/>
              </w:rPr>
              <w:t>%</w:t>
            </w:r>
          </w:p>
        </w:tc>
      </w:tr>
      <w:tr w:rsidR="00C3673E" w:rsidRPr="00734802" w14:paraId="2C3082B3" w14:textId="77777777" w:rsidTr="00734802">
        <w:trPr>
          <w:trHeight w:val="300"/>
        </w:trPr>
        <w:tc>
          <w:tcPr>
            <w:tcW w:w="2922" w:type="dxa"/>
            <w:shd w:val="clear" w:color="auto" w:fill="auto"/>
            <w:noWrap/>
            <w:vAlign w:val="bottom"/>
            <w:hideMark/>
          </w:tcPr>
          <w:p w14:paraId="1093FF7E" w14:textId="77777777" w:rsidR="00C3673E" w:rsidRPr="00F22745" w:rsidRDefault="00C3673E" w:rsidP="00C3673E">
            <w:pPr>
              <w:widowControl/>
              <w:suppressAutoHyphens w:val="0"/>
              <w:rPr>
                <w:rFonts w:ascii="Calibri" w:hAnsi="Calibri"/>
              </w:rPr>
            </w:pPr>
            <w:r w:rsidRPr="00F22745">
              <w:rPr>
                <w:rFonts w:ascii="Calibri" w:hAnsi="Calibri"/>
              </w:rPr>
              <w:t>SDHB Duplication exons 3-5</w:t>
            </w:r>
          </w:p>
        </w:tc>
        <w:tc>
          <w:tcPr>
            <w:tcW w:w="1629" w:type="dxa"/>
            <w:shd w:val="clear" w:color="auto" w:fill="auto"/>
            <w:noWrap/>
            <w:vAlign w:val="bottom"/>
            <w:hideMark/>
          </w:tcPr>
          <w:p w14:paraId="18BD4BBC" w14:textId="77777777" w:rsidR="00C3673E" w:rsidRPr="00F22745" w:rsidRDefault="00C3673E" w:rsidP="00734802">
            <w:pPr>
              <w:widowControl/>
              <w:suppressAutoHyphens w:val="0"/>
              <w:rPr>
                <w:rFonts w:ascii="Calibri" w:hAnsi="Calibri"/>
              </w:rPr>
            </w:pPr>
            <w:r w:rsidRPr="00F22745">
              <w:rPr>
                <w:rFonts w:ascii="Calibri" w:hAnsi="Calibri"/>
              </w:rPr>
              <w:t>1</w:t>
            </w:r>
          </w:p>
        </w:tc>
        <w:tc>
          <w:tcPr>
            <w:tcW w:w="3921" w:type="dxa"/>
            <w:shd w:val="clear" w:color="auto" w:fill="auto"/>
            <w:noWrap/>
            <w:vAlign w:val="bottom"/>
            <w:hideMark/>
          </w:tcPr>
          <w:p w14:paraId="310F1F4C" w14:textId="389BE4B6" w:rsidR="00C3673E" w:rsidRPr="00F22745" w:rsidRDefault="00C3673E" w:rsidP="00F22745">
            <w:pPr>
              <w:widowControl/>
              <w:suppressAutoHyphens w:val="0"/>
              <w:rPr>
                <w:rFonts w:ascii="Calibri" w:hAnsi="Calibri"/>
              </w:rPr>
            </w:pPr>
            <w:r w:rsidRPr="00F22745">
              <w:rPr>
                <w:rFonts w:ascii="Calibri" w:hAnsi="Calibri"/>
              </w:rPr>
              <w:t>2.</w:t>
            </w:r>
            <w:r w:rsidR="00F22745">
              <w:rPr>
                <w:rFonts w:ascii="Calibri" w:hAnsi="Calibri"/>
              </w:rPr>
              <w:t>8</w:t>
            </w:r>
            <w:r w:rsidRPr="00F22745">
              <w:rPr>
                <w:rFonts w:ascii="Calibri" w:hAnsi="Calibri"/>
              </w:rPr>
              <w:t>%</w:t>
            </w:r>
          </w:p>
        </w:tc>
      </w:tr>
      <w:tr w:rsidR="00C3673E" w:rsidRPr="00734802" w14:paraId="0E54AEA8" w14:textId="77777777" w:rsidTr="00734802">
        <w:trPr>
          <w:trHeight w:val="300"/>
        </w:trPr>
        <w:tc>
          <w:tcPr>
            <w:tcW w:w="2922" w:type="dxa"/>
            <w:shd w:val="clear" w:color="auto" w:fill="auto"/>
            <w:noWrap/>
            <w:vAlign w:val="bottom"/>
            <w:hideMark/>
          </w:tcPr>
          <w:p w14:paraId="5C12C991" w14:textId="77777777" w:rsidR="00C3673E" w:rsidRPr="00F22745" w:rsidRDefault="00C3673E" w:rsidP="00C3673E">
            <w:pPr>
              <w:widowControl/>
              <w:suppressAutoHyphens w:val="0"/>
              <w:rPr>
                <w:rFonts w:ascii="Calibri" w:hAnsi="Calibri"/>
              </w:rPr>
            </w:pPr>
            <w:r w:rsidRPr="00F22745">
              <w:rPr>
                <w:rFonts w:ascii="Calibri" w:hAnsi="Calibri"/>
              </w:rPr>
              <w:t>SDHB Duplication exons 4-5</w:t>
            </w:r>
          </w:p>
        </w:tc>
        <w:tc>
          <w:tcPr>
            <w:tcW w:w="1629" w:type="dxa"/>
            <w:shd w:val="clear" w:color="auto" w:fill="auto"/>
            <w:noWrap/>
            <w:vAlign w:val="bottom"/>
            <w:hideMark/>
          </w:tcPr>
          <w:p w14:paraId="57CBB6E3" w14:textId="77777777" w:rsidR="00C3673E" w:rsidRPr="00F22745" w:rsidRDefault="00C3673E" w:rsidP="00734802">
            <w:pPr>
              <w:widowControl/>
              <w:suppressAutoHyphens w:val="0"/>
              <w:rPr>
                <w:rFonts w:ascii="Calibri" w:hAnsi="Calibri"/>
              </w:rPr>
            </w:pPr>
            <w:r w:rsidRPr="00F22745">
              <w:rPr>
                <w:rFonts w:ascii="Calibri" w:hAnsi="Calibri"/>
              </w:rPr>
              <w:t>1</w:t>
            </w:r>
          </w:p>
        </w:tc>
        <w:tc>
          <w:tcPr>
            <w:tcW w:w="3921" w:type="dxa"/>
            <w:shd w:val="clear" w:color="auto" w:fill="auto"/>
            <w:noWrap/>
            <w:vAlign w:val="bottom"/>
            <w:hideMark/>
          </w:tcPr>
          <w:p w14:paraId="3D33FBEE" w14:textId="4FA1DF93" w:rsidR="00C3673E" w:rsidRPr="00F22745" w:rsidRDefault="00C3673E" w:rsidP="00F22745">
            <w:pPr>
              <w:widowControl/>
              <w:suppressAutoHyphens w:val="0"/>
              <w:rPr>
                <w:rFonts w:ascii="Calibri" w:hAnsi="Calibri"/>
              </w:rPr>
            </w:pPr>
            <w:r w:rsidRPr="00F22745">
              <w:rPr>
                <w:rFonts w:ascii="Calibri" w:hAnsi="Calibri"/>
              </w:rPr>
              <w:t>2.</w:t>
            </w:r>
            <w:r w:rsidR="00F22745">
              <w:rPr>
                <w:rFonts w:ascii="Calibri" w:hAnsi="Calibri"/>
              </w:rPr>
              <w:t>8</w:t>
            </w:r>
            <w:r w:rsidRPr="00F22745">
              <w:rPr>
                <w:rFonts w:ascii="Calibri" w:hAnsi="Calibri"/>
              </w:rPr>
              <w:t>%</w:t>
            </w:r>
          </w:p>
        </w:tc>
      </w:tr>
      <w:tr w:rsidR="00C3673E" w:rsidRPr="00734802" w14:paraId="2ADDD863" w14:textId="77777777" w:rsidTr="00734802">
        <w:trPr>
          <w:trHeight w:val="300"/>
        </w:trPr>
        <w:tc>
          <w:tcPr>
            <w:tcW w:w="2922" w:type="dxa"/>
            <w:shd w:val="clear" w:color="auto" w:fill="auto"/>
            <w:noWrap/>
            <w:vAlign w:val="bottom"/>
            <w:hideMark/>
          </w:tcPr>
          <w:p w14:paraId="38044B17" w14:textId="77777777" w:rsidR="00C3673E" w:rsidRPr="00F22745" w:rsidRDefault="00C3673E" w:rsidP="00C3673E">
            <w:pPr>
              <w:widowControl/>
              <w:suppressAutoHyphens w:val="0"/>
              <w:rPr>
                <w:rFonts w:ascii="Calibri" w:hAnsi="Calibri"/>
              </w:rPr>
            </w:pPr>
            <w:r w:rsidRPr="00F22745">
              <w:rPr>
                <w:rFonts w:ascii="Calibri" w:hAnsi="Calibri"/>
              </w:rPr>
              <w:t>SDHC Deletion exon 6</w:t>
            </w:r>
          </w:p>
        </w:tc>
        <w:tc>
          <w:tcPr>
            <w:tcW w:w="1629" w:type="dxa"/>
            <w:shd w:val="clear" w:color="auto" w:fill="auto"/>
            <w:noWrap/>
            <w:vAlign w:val="bottom"/>
            <w:hideMark/>
          </w:tcPr>
          <w:p w14:paraId="17C19131" w14:textId="77777777" w:rsidR="00C3673E" w:rsidRPr="00F22745" w:rsidRDefault="00C3673E" w:rsidP="00734802">
            <w:pPr>
              <w:widowControl/>
              <w:suppressAutoHyphens w:val="0"/>
              <w:rPr>
                <w:rFonts w:ascii="Calibri" w:hAnsi="Calibri"/>
              </w:rPr>
            </w:pPr>
            <w:r w:rsidRPr="00F22745">
              <w:rPr>
                <w:rFonts w:ascii="Calibri" w:hAnsi="Calibri"/>
              </w:rPr>
              <w:t>5</w:t>
            </w:r>
          </w:p>
        </w:tc>
        <w:tc>
          <w:tcPr>
            <w:tcW w:w="3921" w:type="dxa"/>
            <w:shd w:val="clear" w:color="auto" w:fill="auto"/>
            <w:noWrap/>
            <w:vAlign w:val="bottom"/>
            <w:hideMark/>
          </w:tcPr>
          <w:p w14:paraId="77EBC47D" w14:textId="77777777" w:rsidR="00C3673E" w:rsidRPr="00F22745" w:rsidRDefault="00C3673E" w:rsidP="00734802">
            <w:pPr>
              <w:widowControl/>
              <w:suppressAutoHyphens w:val="0"/>
              <w:rPr>
                <w:rFonts w:ascii="Calibri" w:hAnsi="Calibri"/>
              </w:rPr>
            </w:pPr>
            <w:r w:rsidRPr="00F22745">
              <w:rPr>
                <w:rFonts w:ascii="Calibri" w:hAnsi="Calibri"/>
              </w:rPr>
              <w:t>83%</w:t>
            </w:r>
          </w:p>
        </w:tc>
      </w:tr>
      <w:tr w:rsidR="00C3673E" w:rsidRPr="00734802" w14:paraId="61949CB0" w14:textId="77777777" w:rsidTr="00734802">
        <w:trPr>
          <w:trHeight w:val="300"/>
        </w:trPr>
        <w:tc>
          <w:tcPr>
            <w:tcW w:w="2922" w:type="dxa"/>
            <w:shd w:val="clear" w:color="auto" w:fill="auto"/>
            <w:noWrap/>
            <w:vAlign w:val="bottom"/>
            <w:hideMark/>
          </w:tcPr>
          <w:p w14:paraId="1BC313E0" w14:textId="77777777" w:rsidR="00C3673E" w:rsidRPr="00F22745" w:rsidRDefault="00C3673E" w:rsidP="00C3673E">
            <w:pPr>
              <w:widowControl/>
              <w:suppressAutoHyphens w:val="0"/>
              <w:rPr>
                <w:rFonts w:ascii="Calibri" w:hAnsi="Calibri"/>
              </w:rPr>
            </w:pPr>
            <w:r w:rsidRPr="00F22745">
              <w:rPr>
                <w:rFonts w:ascii="Calibri" w:hAnsi="Calibri"/>
              </w:rPr>
              <w:t>SDHC Deletion exons 1-3</w:t>
            </w:r>
          </w:p>
        </w:tc>
        <w:tc>
          <w:tcPr>
            <w:tcW w:w="1629" w:type="dxa"/>
            <w:shd w:val="clear" w:color="auto" w:fill="auto"/>
            <w:noWrap/>
            <w:vAlign w:val="bottom"/>
            <w:hideMark/>
          </w:tcPr>
          <w:p w14:paraId="25DE3DE9" w14:textId="77777777" w:rsidR="00C3673E" w:rsidRPr="00F22745" w:rsidRDefault="00C3673E" w:rsidP="00734802">
            <w:pPr>
              <w:widowControl/>
              <w:suppressAutoHyphens w:val="0"/>
              <w:rPr>
                <w:rFonts w:ascii="Calibri" w:hAnsi="Calibri"/>
              </w:rPr>
            </w:pPr>
            <w:r w:rsidRPr="00F22745">
              <w:rPr>
                <w:rFonts w:ascii="Calibri" w:hAnsi="Calibri"/>
              </w:rPr>
              <w:t>1</w:t>
            </w:r>
          </w:p>
        </w:tc>
        <w:tc>
          <w:tcPr>
            <w:tcW w:w="3921" w:type="dxa"/>
            <w:shd w:val="clear" w:color="auto" w:fill="auto"/>
            <w:noWrap/>
            <w:vAlign w:val="bottom"/>
            <w:hideMark/>
          </w:tcPr>
          <w:p w14:paraId="59F9DCB3" w14:textId="77777777" w:rsidR="00C3673E" w:rsidRPr="00F22745" w:rsidRDefault="00C3673E" w:rsidP="00734802">
            <w:pPr>
              <w:widowControl/>
              <w:suppressAutoHyphens w:val="0"/>
              <w:rPr>
                <w:rFonts w:ascii="Calibri" w:hAnsi="Calibri"/>
              </w:rPr>
            </w:pPr>
            <w:r w:rsidRPr="00F22745">
              <w:rPr>
                <w:rFonts w:ascii="Calibri" w:hAnsi="Calibri"/>
              </w:rPr>
              <w:t>17%</w:t>
            </w:r>
          </w:p>
        </w:tc>
      </w:tr>
      <w:tr w:rsidR="00C3673E" w:rsidRPr="00734802" w14:paraId="40F155C2" w14:textId="77777777" w:rsidTr="00734802">
        <w:trPr>
          <w:trHeight w:val="300"/>
        </w:trPr>
        <w:tc>
          <w:tcPr>
            <w:tcW w:w="2922" w:type="dxa"/>
            <w:shd w:val="clear" w:color="auto" w:fill="auto"/>
            <w:noWrap/>
            <w:vAlign w:val="bottom"/>
            <w:hideMark/>
          </w:tcPr>
          <w:p w14:paraId="1D4BE7BA" w14:textId="77777777" w:rsidR="00C3673E" w:rsidRPr="00F22745" w:rsidRDefault="00C3673E" w:rsidP="00C3673E">
            <w:pPr>
              <w:widowControl/>
              <w:suppressAutoHyphens w:val="0"/>
              <w:rPr>
                <w:rFonts w:ascii="Calibri" w:hAnsi="Calibri"/>
              </w:rPr>
            </w:pPr>
            <w:r w:rsidRPr="00F22745">
              <w:rPr>
                <w:rFonts w:ascii="Calibri" w:hAnsi="Calibri"/>
              </w:rPr>
              <w:t>SDHD Deletion exon 4</w:t>
            </w:r>
          </w:p>
        </w:tc>
        <w:tc>
          <w:tcPr>
            <w:tcW w:w="1629" w:type="dxa"/>
            <w:shd w:val="clear" w:color="auto" w:fill="auto"/>
            <w:noWrap/>
            <w:vAlign w:val="bottom"/>
            <w:hideMark/>
          </w:tcPr>
          <w:p w14:paraId="0405919B" w14:textId="77777777" w:rsidR="00C3673E" w:rsidRPr="00F22745" w:rsidRDefault="00C3673E" w:rsidP="00734802">
            <w:pPr>
              <w:widowControl/>
              <w:suppressAutoHyphens w:val="0"/>
              <w:rPr>
                <w:rFonts w:ascii="Calibri" w:hAnsi="Calibri"/>
              </w:rPr>
            </w:pPr>
            <w:r w:rsidRPr="00F22745">
              <w:rPr>
                <w:rFonts w:ascii="Calibri" w:hAnsi="Calibri"/>
              </w:rPr>
              <w:t>3</w:t>
            </w:r>
          </w:p>
        </w:tc>
        <w:tc>
          <w:tcPr>
            <w:tcW w:w="3921" w:type="dxa"/>
            <w:shd w:val="clear" w:color="auto" w:fill="auto"/>
            <w:noWrap/>
            <w:vAlign w:val="bottom"/>
            <w:hideMark/>
          </w:tcPr>
          <w:p w14:paraId="64AFA246" w14:textId="77777777" w:rsidR="00C3673E" w:rsidRPr="00F22745" w:rsidRDefault="00C3673E" w:rsidP="00734802">
            <w:pPr>
              <w:widowControl/>
              <w:suppressAutoHyphens w:val="0"/>
              <w:rPr>
                <w:rFonts w:ascii="Calibri" w:hAnsi="Calibri"/>
              </w:rPr>
            </w:pPr>
            <w:r w:rsidRPr="00F22745">
              <w:rPr>
                <w:rFonts w:ascii="Calibri" w:hAnsi="Calibri"/>
              </w:rPr>
              <w:t>100%</w:t>
            </w:r>
          </w:p>
        </w:tc>
      </w:tr>
    </w:tbl>
    <w:p w14:paraId="4F7DAF56" w14:textId="77777777" w:rsidR="000A6668" w:rsidRDefault="000A6668" w:rsidP="000B1155">
      <w:pPr>
        <w:widowControl/>
        <w:suppressAutoHyphens w:val="0"/>
        <w:rPr>
          <w:rFonts w:ascii="Times" w:hAnsi="Times"/>
          <w:color w:val="000000"/>
        </w:rPr>
      </w:pPr>
    </w:p>
    <w:p w14:paraId="7FE46985" w14:textId="1E1F0348" w:rsidR="000A6668" w:rsidRDefault="0002402C" w:rsidP="00490651">
      <w:pPr>
        <w:widowControl/>
        <w:tabs>
          <w:tab w:val="left" w:pos="3402"/>
        </w:tabs>
        <w:suppressAutoHyphens w:val="0"/>
        <w:rPr>
          <w:rFonts w:ascii="Times" w:hAnsi="Times"/>
          <w:color w:val="000000"/>
        </w:rPr>
        <w:sectPr w:rsidR="000A6668" w:rsidSect="000A6668">
          <w:pgSz w:w="11906" w:h="16838"/>
          <w:pgMar w:top="1134" w:right="1134" w:bottom="1134" w:left="1134" w:header="720" w:footer="720" w:gutter="0"/>
          <w:cols w:space="720"/>
        </w:sectPr>
      </w:pPr>
      <w:r>
        <w:rPr>
          <w:rFonts w:ascii="Times" w:hAnsi="Times"/>
          <w:color w:val="000000"/>
        </w:rPr>
        <w:br w:type="page"/>
      </w:r>
    </w:p>
    <w:p w14:paraId="6B4BBD49" w14:textId="6D4DC06B" w:rsidR="00750489" w:rsidRDefault="002A340A" w:rsidP="000B1155">
      <w:pPr>
        <w:widowControl/>
        <w:suppressAutoHyphens w:val="0"/>
        <w:rPr>
          <w:rFonts w:ascii="Calibri" w:hAnsi="Calibri" w:cs="Arial"/>
          <w:bCs/>
          <w:color w:val="000000"/>
          <w:sz w:val="22"/>
          <w:szCs w:val="22"/>
        </w:rPr>
      </w:pPr>
      <w:proofErr w:type="spellStart"/>
      <w:r w:rsidRPr="00750489">
        <w:rPr>
          <w:rFonts w:ascii="Calibri" w:hAnsi="Calibri" w:cs="Arial"/>
          <w:b/>
          <w:bCs/>
          <w:color w:val="000000"/>
          <w:sz w:val="22"/>
          <w:szCs w:val="22"/>
        </w:rPr>
        <w:t>e</w:t>
      </w:r>
      <w:r w:rsidR="000A6668">
        <w:rPr>
          <w:rFonts w:ascii="Calibri" w:hAnsi="Calibri" w:cs="Arial"/>
          <w:b/>
          <w:bCs/>
          <w:color w:val="000000"/>
          <w:sz w:val="22"/>
          <w:szCs w:val="22"/>
        </w:rPr>
        <w:t>Table</w:t>
      </w:r>
      <w:proofErr w:type="spellEnd"/>
      <w:r w:rsidR="000A6668">
        <w:rPr>
          <w:rFonts w:ascii="Calibri" w:hAnsi="Calibri" w:cs="Arial"/>
          <w:b/>
          <w:bCs/>
          <w:color w:val="000000"/>
          <w:sz w:val="22"/>
          <w:szCs w:val="22"/>
        </w:rPr>
        <w:t xml:space="preserve"> 2</w:t>
      </w:r>
      <w:r w:rsidR="004B393C" w:rsidRPr="00750489">
        <w:rPr>
          <w:rFonts w:ascii="Calibri" w:hAnsi="Calibri" w:cs="Arial"/>
          <w:b/>
          <w:bCs/>
          <w:color w:val="000000"/>
          <w:sz w:val="22"/>
          <w:szCs w:val="22"/>
        </w:rPr>
        <w:t xml:space="preserve">. </w:t>
      </w:r>
      <w:r w:rsidR="004B393C" w:rsidRPr="00750489">
        <w:rPr>
          <w:rFonts w:ascii="Calibri" w:hAnsi="Calibri" w:cs="Arial"/>
          <w:bCs/>
          <w:color w:val="000000"/>
          <w:sz w:val="22"/>
          <w:szCs w:val="22"/>
        </w:rPr>
        <w:t xml:space="preserve">Literature review of </w:t>
      </w:r>
      <w:r w:rsidR="00163A52" w:rsidRPr="00750489">
        <w:rPr>
          <w:rFonts w:ascii="Calibri" w:hAnsi="Calibri" w:cs="Arial"/>
          <w:bCs/>
          <w:color w:val="000000"/>
          <w:sz w:val="22"/>
          <w:szCs w:val="22"/>
        </w:rPr>
        <w:t xml:space="preserve">SDH mutation genotypes and penetrance </w:t>
      </w:r>
      <w:r w:rsidR="0002402C">
        <w:rPr>
          <w:rFonts w:ascii="Calibri" w:hAnsi="Calibri" w:cs="Arial"/>
          <w:bCs/>
          <w:color w:val="000000"/>
          <w:sz w:val="22"/>
          <w:szCs w:val="22"/>
        </w:rPr>
        <w:t>of SDH-related disease, performed on in July 2017.</w:t>
      </w:r>
    </w:p>
    <w:tbl>
      <w:tblPr>
        <w:tblStyle w:val="LightShading-Accent1"/>
        <w:tblW w:w="16484" w:type="dxa"/>
        <w:tblInd w:w="-743" w:type="dxa"/>
        <w:tblLayout w:type="fixed"/>
        <w:tblLook w:val="04A0" w:firstRow="1" w:lastRow="0" w:firstColumn="1" w:lastColumn="0" w:noHBand="0" w:noVBand="1"/>
      </w:tblPr>
      <w:tblGrid>
        <w:gridCol w:w="2478"/>
        <w:gridCol w:w="622"/>
        <w:gridCol w:w="622"/>
        <w:gridCol w:w="672"/>
        <w:gridCol w:w="521"/>
        <w:gridCol w:w="521"/>
        <w:gridCol w:w="672"/>
        <w:gridCol w:w="622"/>
        <w:gridCol w:w="622"/>
        <w:gridCol w:w="640"/>
        <w:gridCol w:w="2000"/>
        <w:gridCol w:w="1487"/>
        <w:gridCol w:w="5005"/>
      </w:tblGrid>
      <w:tr w:rsidR="005D6D2F" w:rsidRPr="00750489" w14:paraId="0655EE89" w14:textId="77777777" w:rsidTr="0002402C">
        <w:trPr>
          <w:cnfStyle w:val="100000000000" w:firstRow="1" w:lastRow="0" w:firstColumn="0" w:lastColumn="0" w:oddVBand="0" w:evenVBand="0" w:oddHBand="0" w:evenHBand="0" w:firstRowFirstColumn="0" w:firstRowLastColumn="0" w:lastRowFirstColumn="0" w:lastRowLastColumn="0"/>
          <w:trHeight w:val="2942"/>
        </w:trPr>
        <w:tc>
          <w:tcPr>
            <w:cnfStyle w:val="001000000000" w:firstRow="0" w:lastRow="0" w:firstColumn="1" w:lastColumn="0" w:oddVBand="0" w:evenVBand="0" w:oddHBand="0" w:evenHBand="0" w:firstRowFirstColumn="0" w:firstRowLastColumn="0" w:lastRowFirstColumn="0" w:lastRowLastColumn="0"/>
            <w:tcW w:w="2478" w:type="dxa"/>
            <w:noWrap/>
            <w:hideMark/>
          </w:tcPr>
          <w:p w14:paraId="53A984AB" w14:textId="77777777" w:rsidR="00750489" w:rsidRPr="00750489" w:rsidRDefault="00750489" w:rsidP="00750489">
            <w:pPr>
              <w:widowControl/>
              <w:suppressAutoHyphens w:val="0"/>
              <w:rPr>
                <w:rFonts w:ascii="Calibri" w:hAnsi="Calibri"/>
                <w:color w:val="000000"/>
              </w:rPr>
            </w:pPr>
          </w:p>
        </w:tc>
        <w:tc>
          <w:tcPr>
            <w:tcW w:w="622" w:type="dxa"/>
            <w:noWrap/>
            <w:textDirection w:val="btLr"/>
            <w:hideMark/>
          </w:tcPr>
          <w:p w14:paraId="2953645F" w14:textId="77777777" w:rsidR="00750489" w:rsidRPr="00750489" w:rsidRDefault="00750489" w:rsidP="00750489">
            <w:pPr>
              <w:widowControl/>
              <w:suppressAutoHyphens w:val="0"/>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Number SDHB mutation carriers</w:t>
            </w:r>
          </w:p>
        </w:tc>
        <w:tc>
          <w:tcPr>
            <w:tcW w:w="622" w:type="dxa"/>
            <w:noWrap/>
            <w:textDirection w:val="btLr"/>
            <w:hideMark/>
          </w:tcPr>
          <w:p w14:paraId="7F3E5897" w14:textId="77777777" w:rsidR="00750489" w:rsidRPr="00750489" w:rsidRDefault="00750489" w:rsidP="00750489">
            <w:pPr>
              <w:widowControl/>
              <w:suppressAutoHyphens w:val="0"/>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Number SDHB probands</w:t>
            </w:r>
          </w:p>
        </w:tc>
        <w:tc>
          <w:tcPr>
            <w:tcW w:w="672" w:type="dxa"/>
            <w:noWrap/>
            <w:textDirection w:val="btLr"/>
            <w:hideMark/>
          </w:tcPr>
          <w:p w14:paraId="15D98F05" w14:textId="77777777" w:rsidR="00750489" w:rsidRPr="00750489" w:rsidRDefault="00750489" w:rsidP="00750489">
            <w:pPr>
              <w:widowControl/>
              <w:suppressAutoHyphens w:val="0"/>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 SDHB probands large CNV</w:t>
            </w:r>
          </w:p>
        </w:tc>
        <w:tc>
          <w:tcPr>
            <w:tcW w:w="521" w:type="dxa"/>
            <w:noWrap/>
            <w:textDirection w:val="btLr"/>
            <w:hideMark/>
          </w:tcPr>
          <w:p w14:paraId="56507786" w14:textId="77777777" w:rsidR="00750489" w:rsidRPr="00750489" w:rsidRDefault="00750489" w:rsidP="00750489">
            <w:pPr>
              <w:widowControl/>
              <w:suppressAutoHyphens w:val="0"/>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Number SDHC mutation carriers</w:t>
            </w:r>
          </w:p>
        </w:tc>
        <w:tc>
          <w:tcPr>
            <w:tcW w:w="521" w:type="dxa"/>
            <w:noWrap/>
            <w:textDirection w:val="btLr"/>
            <w:hideMark/>
          </w:tcPr>
          <w:p w14:paraId="68063F2C" w14:textId="77777777" w:rsidR="00750489" w:rsidRPr="00750489" w:rsidRDefault="00750489" w:rsidP="00750489">
            <w:pPr>
              <w:widowControl/>
              <w:suppressAutoHyphens w:val="0"/>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Number SDHC probands</w:t>
            </w:r>
          </w:p>
        </w:tc>
        <w:tc>
          <w:tcPr>
            <w:tcW w:w="672" w:type="dxa"/>
            <w:noWrap/>
            <w:textDirection w:val="btLr"/>
            <w:hideMark/>
          </w:tcPr>
          <w:p w14:paraId="52B25F9D" w14:textId="77777777" w:rsidR="00750489" w:rsidRPr="00750489" w:rsidRDefault="00750489" w:rsidP="00750489">
            <w:pPr>
              <w:widowControl/>
              <w:suppressAutoHyphens w:val="0"/>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 SDHC probands large CNV</w:t>
            </w:r>
          </w:p>
        </w:tc>
        <w:tc>
          <w:tcPr>
            <w:tcW w:w="622" w:type="dxa"/>
            <w:noWrap/>
            <w:textDirection w:val="btLr"/>
            <w:hideMark/>
          </w:tcPr>
          <w:p w14:paraId="200AE1B4" w14:textId="77777777" w:rsidR="00750489" w:rsidRPr="00750489" w:rsidRDefault="00750489" w:rsidP="00750489">
            <w:pPr>
              <w:widowControl/>
              <w:suppressAutoHyphens w:val="0"/>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Number SDHD mutation carriers</w:t>
            </w:r>
          </w:p>
        </w:tc>
        <w:tc>
          <w:tcPr>
            <w:tcW w:w="622" w:type="dxa"/>
            <w:noWrap/>
            <w:textDirection w:val="btLr"/>
            <w:hideMark/>
          </w:tcPr>
          <w:p w14:paraId="5C817DCC" w14:textId="77777777" w:rsidR="00750489" w:rsidRPr="00750489" w:rsidRDefault="00750489" w:rsidP="00750489">
            <w:pPr>
              <w:widowControl/>
              <w:suppressAutoHyphens w:val="0"/>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Number SDHD probands</w:t>
            </w:r>
          </w:p>
        </w:tc>
        <w:tc>
          <w:tcPr>
            <w:tcW w:w="640" w:type="dxa"/>
            <w:noWrap/>
            <w:textDirection w:val="btLr"/>
            <w:hideMark/>
          </w:tcPr>
          <w:p w14:paraId="6EC3D8EB" w14:textId="77777777" w:rsidR="00750489" w:rsidRPr="00750489" w:rsidRDefault="00750489" w:rsidP="00750489">
            <w:pPr>
              <w:widowControl/>
              <w:suppressAutoHyphens w:val="0"/>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 SDHD probands large CNV</w:t>
            </w:r>
          </w:p>
        </w:tc>
        <w:tc>
          <w:tcPr>
            <w:tcW w:w="2000" w:type="dxa"/>
            <w:noWrap/>
            <w:textDirection w:val="btLr"/>
            <w:hideMark/>
          </w:tcPr>
          <w:p w14:paraId="6A659918" w14:textId="77777777" w:rsidR="00750489" w:rsidRPr="00750489" w:rsidRDefault="00750489" w:rsidP="00750489">
            <w:pPr>
              <w:widowControl/>
              <w:suppressAutoHyphens w:val="0"/>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Penetrance estimate - SDHB</w:t>
            </w:r>
          </w:p>
        </w:tc>
        <w:tc>
          <w:tcPr>
            <w:tcW w:w="1487" w:type="dxa"/>
            <w:noWrap/>
            <w:textDirection w:val="btLr"/>
            <w:hideMark/>
          </w:tcPr>
          <w:p w14:paraId="56AF12F2" w14:textId="77777777" w:rsidR="00750489" w:rsidRPr="00750489" w:rsidRDefault="00750489" w:rsidP="00750489">
            <w:pPr>
              <w:widowControl/>
              <w:suppressAutoHyphens w:val="0"/>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Penetrance estimate - SDHD</w:t>
            </w:r>
          </w:p>
        </w:tc>
        <w:tc>
          <w:tcPr>
            <w:tcW w:w="5005" w:type="dxa"/>
            <w:noWrap/>
            <w:textDirection w:val="btLr"/>
            <w:hideMark/>
          </w:tcPr>
          <w:p w14:paraId="1576B6F7" w14:textId="77777777" w:rsidR="00750489" w:rsidRPr="00750489" w:rsidRDefault="00750489" w:rsidP="00750489">
            <w:pPr>
              <w:widowControl/>
              <w:suppressAutoHyphens w:val="0"/>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Method of penetrance estimate</w:t>
            </w:r>
          </w:p>
        </w:tc>
      </w:tr>
      <w:tr w:rsidR="005D6D2F" w:rsidRPr="00750489" w14:paraId="6EB41257" w14:textId="77777777" w:rsidTr="000240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8" w:type="dxa"/>
            <w:noWrap/>
            <w:hideMark/>
          </w:tcPr>
          <w:p w14:paraId="29ACB837" w14:textId="165670AF" w:rsidR="00750489" w:rsidRPr="00750489" w:rsidRDefault="00750489" w:rsidP="005D6D2F">
            <w:pPr>
              <w:widowControl/>
              <w:suppressAutoHyphens w:val="0"/>
              <w:rPr>
                <w:rFonts w:ascii="Calibri" w:hAnsi="Calibri"/>
                <w:color w:val="000000"/>
              </w:rPr>
            </w:pPr>
            <w:r w:rsidRPr="00750489">
              <w:rPr>
                <w:rFonts w:ascii="Calibri" w:hAnsi="Calibri"/>
                <w:color w:val="000000"/>
              </w:rPr>
              <w:t>Neumann et al. 2004</w:t>
            </w:r>
            <w:r w:rsidR="005D6D2F">
              <w:rPr>
                <w:rFonts w:ascii="Calibri" w:hAnsi="Calibri"/>
                <w:color w:val="000000"/>
              </w:rPr>
              <w:fldChar w:fldCharType="begin" w:fldLock="1"/>
            </w:r>
            <w:r w:rsidR="004B6A5D">
              <w:rPr>
                <w:rFonts w:ascii="Calibri" w:hAnsi="Calibri"/>
                <w:color w:val="000000"/>
              </w:rPr>
              <w:instrText>ADDIN CSL_CITATION { "citationItems" : [ { "id" : "ITEM-1", "itemData" : { "DOI" : "10.1001/jama.292.8.943", "PMID" : "15328326", "author" : [ { "dropping-particle" : "", "family" : "Neumann", "given" : "Hartmut P H", "non-dropping-particle" : "", "parse-names" : false, "suffix" : "" }, { "dropping-particle" : "", "family" : "Pawlu", "given" : "Christian", "non-dropping-particle" : "", "parse-names" : false, "suffix" : "" }, { "dropping-particle" : "", "family" : "Peczkowska", "given" : "Mariola", "non-dropping-particle" : "", "parse-names" : false, "suffix" : "" }, { "dropping-particle" : "", "family" : "Bausch", "given" : "Birke", "non-dropping-particle" : "", "parse-names" : false, "suffix" : "" }, { "dropping-particle" : "", "family" : "McWhinney", "given" : "Sarah R", "non-dropping-particle" : "", "parse-names" : false, "suffix" : "" }, { "dropping-particle" : "", "family" : "Muresan", "given" : "Mihaela", "non-dropping-particle" : "", "parse-names" : false, "suffix" : "" }, { "dropping-particle" : "", "family" : "Buchta", "given" : "Mary", "non-dropping-particle" : "", "parse-names" : false, "suffix" : "" }, { "dropping-particle" : "", "family" : "Franke", "given" : "Gerlind", "non-dropping-particle" : "", "parse-names" : false, "suffix" : "" }, { "dropping-particle" : "", "family" : "Klisch", "given" : "Joachim", "non-dropping-particle" : "", "parse-names" : false, "suffix" : "" }, { "dropping-particle" : "", "family" : "Bley", "given" : "Thorsten A", "non-dropping-particle" : "", "parse-names" : false, "suffix" : "" }, { "dropping-particle" : "", "family" : "Hoegerle", "given" : "Stefan", "non-dropping-particle" : "", "parse-names" : false, "suffix" : "" }, { "dropping-particle" : "", "family" : "Boedeker", "given" : "Carsten C", "non-dropping-particle" : "", "parse-names" : false, "suffix" : "" }, { "dropping-particle" : "", "family" : "Opocher", "given" : "Giuseppe", "non-dropping-particle" : "", "parse-names" : false, "suffix" : "" }, { "dropping-particle" : "", "family" : "Schipper", "given" : "J\u00f6rg", "non-dropping-particle" : "", "parse-names" : false, "suffix" : "" }, { "dropping-particle" : "", "family" : "Januszewicz", "given" : "Andrzej", "non-dropping-particle" : "", "parse-names" : false, "suffix" : "" }, { "dropping-particle" : "", "family" : "Eng", "given" : "Charis", "non-dropping-particle" : "", "parse-names" : false, "suffix" : "" } ], "container-title" : "JAMA", "id" : "ITEM-1", "issue" : "8", "issued" : { "date-parts" : [ [ "2004" ] ] }, "page" : "943-951", "title" : "Distinct Clinical Features of Paraganglioma Syndromes Associated With SDHB and SDHD GeneMutations", "type" : "article-journal", "volume" : "292" }, "uris" : [ "http://www.mendeley.com/documents/?uuid=e3db8acd-e2b0-45c0-9951-4c6f9058cd50" ] } ], "mendeley" : { "formattedCitation" : "[13]", "plainTextFormattedCitation" : "[13]", "previouslyFormattedCitation" : "&lt;sup&gt;13&lt;/sup&gt;" }, "properties" : {  }, "schema" : "https://github.com/citation-style-language/schema/raw/master/csl-citation.json" }</w:instrText>
            </w:r>
            <w:r w:rsidR="005D6D2F">
              <w:rPr>
                <w:rFonts w:ascii="Calibri" w:hAnsi="Calibri"/>
                <w:color w:val="000000"/>
              </w:rPr>
              <w:fldChar w:fldCharType="separate"/>
            </w:r>
            <w:r w:rsidR="004B6A5D" w:rsidRPr="004B6A5D">
              <w:rPr>
                <w:rFonts w:ascii="Calibri" w:hAnsi="Calibri"/>
                <w:b w:val="0"/>
                <w:noProof/>
                <w:color w:val="000000"/>
              </w:rPr>
              <w:t>[13]</w:t>
            </w:r>
            <w:r w:rsidR="005D6D2F">
              <w:rPr>
                <w:rFonts w:ascii="Calibri" w:hAnsi="Calibri"/>
                <w:color w:val="000000"/>
              </w:rPr>
              <w:fldChar w:fldCharType="end"/>
            </w:r>
          </w:p>
        </w:tc>
        <w:tc>
          <w:tcPr>
            <w:tcW w:w="622" w:type="dxa"/>
            <w:noWrap/>
            <w:hideMark/>
          </w:tcPr>
          <w:p w14:paraId="6223E388"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51</w:t>
            </w:r>
          </w:p>
        </w:tc>
        <w:tc>
          <w:tcPr>
            <w:tcW w:w="622" w:type="dxa"/>
            <w:noWrap/>
            <w:hideMark/>
          </w:tcPr>
          <w:p w14:paraId="15DCB22C"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25</w:t>
            </w:r>
          </w:p>
        </w:tc>
        <w:tc>
          <w:tcPr>
            <w:tcW w:w="672" w:type="dxa"/>
            <w:noWrap/>
            <w:hideMark/>
          </w:tcPr>
          <w:p w14:paraId="4EAC0CB0" w14:textId="2A6AC2E3" w:rsidR="00750489" w:rsidRPr="00750489" w:rsidRDefault="005D6D2F"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 -</w:t>
            </w:r>
          </w:p>
        </w:tc>
        <w:tc>
          <w:tcPr>
            <w:tcW w:w="521" w:type="dxa"/>
            <w:noWrap/>
            <w:hideMark/>
          </w:tcPr>
          <w:p w14:paraId="396F9973"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521" w:type="dxa"/>
            <w:noWrap/>
            <w:hideMark/>
          </w:tcPr>
          <w:p w14:paraId="095E9EA2"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672" w:type="dxa"/>
            <w:noWrap/>
            <w:hideMark/>
          </w:tcPr>
          <w:p w14:paraId="0DF855C4"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N/A</w:t>
            </w:r>
          </w:p>
        </w:tc>
        <w:tc>
          <w:tcPr>
            <w:tcW w:w="622" w:type="dxa"/>
            <w:noWrap/>
            <w:hideMark/>
          </w:tcPr>
          <w:p w14:paraId="0AFEFA6D"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45</w:t>
            </w:r>
          </w:p>
        </w:tc>
        <w:tc>
          <w:tcPr>
            <w:tcW w:w="622" w:type="dxa"/>
            <w:noWrap/>
            <w:hideMark/>
          </w:tcPr>
          <w:p w14:paraId="72D9E03E"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24</w:t>
            </w:r>
          </w:p>
        </w:tc>
        <w:tc>
          <w:tcPr>
            <w:tcW w:w="640" w:type="dxa"/>
            <w:noWrap/>
            <w:hideMark/>
          </w:tcPr>
          <w:p w14:paraId="2B7C90A7" w14:textId="03037034" w:rsidR="00750489" w:rsidRPr="00750489" w:rsidRDefault="005D6D2F" w:rsidP="005D6D2F">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 -</w:t>
            </w:r>
          </w:p>
        </w:tc>
        <w:tc>
          <w:tcPr>
            <w:tcW w:w="2000" w:type="dxa"/>
            <w:noWrap/>
            <w:hideMark/>
          </w:tcPr>
          <w:p w14:paraId="64C62052"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77% by age 50</w:t>
            </w:r>
          </w:p>
        </w:tc>
        <w:tc>
          <w:tcPr>
            <w:tcW w:w="1487" w:type="dxa"/>
            <w:noWrap/>
            <w:hideMark/>
          </w:tcPr>
          <w:p w14:paraId="1FD2D8D6"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86% by age 50</w:t>
            </w:r>
          </w:p>
        </w:tc>
        <w:tc>
          <w:tcPr>
            <w:tcW w:w="5005" w:type="dxa"/>
            <w:noWrap/>
            <w:hideMark/>
          </w:tcPr>
          <w:p w14:paraId="76D5448F"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50489">
              <w:rPr>
                <w:rFonts w:ascii="Calibri" w:hAnsi="Calibri"/>
                <w:color w:val="000000"/>
              </w:rPr>
              <w:t>Kalplan</w:t>
            </w:r>
            <w:proofErr w:type="spellEnd"/>
            <w:r w:rsidRPr="00750489">
              <w:rPr>
                <w:rFonts w:ascii="Calibri" w:hAnsi="Calibri"/>
                <w:color w:val="000000"/>
              </w:rPr>
              <w:t xml:space="preserve"> Meier analysis of probands and non-probands combined</w:t>
            </w:r>
          </w:p>
        </w:tc>
      </w:tr>
      <w:tr w:rsidR="005D6D2F" w:rsidRPr="00750489" w14:paraId="18849889" w14:textId="77777777" w:rsidTr="0002402C">
        <w:trPr>
          <w:trHeight w:val="300"/>
        </w:trPr>
        <w:tc>
          <w:tcPr>
            <w:cnfStyle w:val="001000000000" w:firstRow="0" w:lastRow="0" w:firstColumn="1" w:lastColumn="0" w:oddVBand="0" w:evenVBand="0" w:oddHBand="0" w:evenHBand="0" w:firstRowFirstColumn="0" w:firstRowLastColumn="0" w:lastRowFirstColumn="0" w:lastRowLastColumn="0"/>
            <w:tcW w:w="2478" w:type="dxa"/>
            <w:noWrap/>
            <w:hideMark/>
          </w:tcPr>
          <w:p w14:paraId="0D307F22" w14:textId="5AD94050" w:rsidR="00750489" w:rsidRPr="00750489" w:rsidRDefault="00750489" w:rsidP="005D6D2F">
            <w:pPr>
              <w:widowControl/>
              <w:suppressAutoHyphens w:val="0"/>
              <w:rPr>
                <w:rFonts w:ascii="Calibri" w:hAnsi="Calibri"/>
                <w:color w:val="000000"/>
              </w:rPr>
            </w:pPr>
            <w:r w:rsidRPr="00750489">
              <w:rPr>
                <w:rFonts w:ascii="Calibri" w:hAnsi="Calibri"/>
                <w:color w:val="000000"/>
              </w:rPr>
              <w:t>Benn et al. 2006</w:t>
            </w:r>
            <w:r w:rsidR="005D6D2F">
              <w:rPr>
                <w:rFonts w:ascii="Calibri" w:hAnsi="Calibri"/>
                <w:color w:val="000000"/>
              </w:rPr>
              <w:fldChar w:fldCharType="begin" w:fldLock="1"/>
            </w:r>
            <w:r w:rsidR="004B6A5D">
              <w:rPr>
                <w:rFonts w:ascii="Calibri" w:hAnsi="Calibri"/>
                <w:color w:val="000000"/>
              </w:rPr>
              <w:instrText>ADDIN CSL_CITATION { "citationItems" : [ { "id" : "ITEM-1", "itemData" : { "DOI" : "10.1210/jc.2005-1862", "ISSN" : "0021-972X", "PMID" : "16317055", "abstract" : "CONTEXT: The identification of mutations in genes encoding peptides of succinate dehydrogenase (SDH) in pheochromocytoma/paraganglioma syndromes has necessitated clear elucidation of genotype-phenotype associations.\n\nOBJECTIVE: Our objective was to determine genotype-phenotype associations in a cohort of patients with pheochromocytoma/paraganglioma syndromes and succinate dehydrogenase subunit B (SDHB) or subunit D (SDHD) mutations.\n\nDESIGN, SETTING, AND PARTICIPANTS: The International SDH Consortium studied 116 individuals (83 affected and 33 clinically unaffected) from 62 families with pheochromocytoma/paraganglioma syndromes and SDHB or SDHD mutations. Clinical data were collected between August 2003 and September 2004 from tertiary referral centers in Australia, France, New Zealand, Germany, United States, Canada, and Scotland.\n\nMAIN OUTCOME MEASURES: Data were collected on patients with pheochromocytomas and/or paragangliomas with respect to onset of disease, diagnosis, genetic testing, surgery, pathology, and disease progression. Clinical features were evaluated for evidence of genotype-phenotype associations, and penetrance was determined.\n\nRESULTS: SDHB mutation carriers were more likely than SDHD mutation carriers to develop extraadrenal pheochromocytomas and malignant disease, whereas SDHD mutation carriers had a greater propensity to develop head and neck paragangliomas and multiple tumors. For the index cases, there was no difference between 43 SDHB and 19 SDHD mutation carriers in the time to first diagnosis (34 vs. 28 yr, respectively; P = 0.3). However, when all mutation carriers were included (n = 112), the estimated age-related penetrance was different for SDHB vs. SDHD mutation carriers (P = 0.008).\n\nCONCLUSIONS: For clinical follow-up, features of SDHB mutation-associated disease include a later age of onset, extraadrenal (abdominal or thoracic) tumors, and a higher rate of malignancy. In contrast, SDHD mutation carriers, in addition to head and neck paragangliomas, should be observed for multifocal tumors, infrequent malignancy, and the possibility of extraadrenal pheochromocytoma.", "author" : [ { "dropping-particle" : "", "family" : "Benn", "given" : "Diana E", "non-dropping-particle" : "", "parse-names" : false, "suffix" : "" }, { "dropping-particle" : "", "family" : "Gimenez-Roqueplo", "given" : "Anne-Paule", "non-dropping-particle" : "", "parse-names" : false, "suffix" : "" }, { "dropping-particle" : "", "family" : "Reilly", "given" : "Jennifer R", "non-dropping-particle" : "", "parse-names" : false, "suffix" : "" }, { "dropping-particle" : "", "family" : "Bertherat", "given" : "J\u00e9r\u00f4me", "non-dropping-particle" : "", "parse-names" : false, "suffix" : "" }, { "dropping-particle" : "", "family" : "Burgess", "given" : "John", "non-dropping-particle" : "", "parse-names" : false, "suffix" : "" }, { "dropping-particle" : "", "family" : "Byth", "given" : "Karen", "non-dropping-particle" : "", "parse-names" : false, "suffix" : "" }, { "dropping-particle" : "", "family" : "Croxson", "given" : "Michael", "non-dropping-particle" : "", "parse-names" : false, "suffix" : "" }, { "dropping-particle" : "", "family" : "Dahia", "given" : "Patricia L M", "non-dropping-particle" : "", "parse-names" : false, "suffix" : "" }, { "dropping-particle" : "", "family" : "Elston", "given" : "Marianne", "non-dropping-particle" : "", "parse-names" : false, "suffix" : "" }, { "dropping-particle" : "", "family" : "Gimm", "given" : "Oliver", "non-dropping-particle" : "", "parse-names" : false, "suffix" : "" }, { "dropping-particle" : "", "family" : "Henley", "given" : "David", "non-dropping-particle" : "", "parse-names" : false, "suffix" : "" }, { "dropping-particle" : "", "family" : "Herman", "given" : "Philippe", "non-dropping-particle" : "", "parse-names" : false, "suffix" : "" }, { "dropping-particle" : "", "family" : "Murday", "given" : "Victoria", "non-dropping-particle" : "", "parse-names" : false, "suffix" : "" }, { "dropping-particle" : "", "family" : "Niccoli-Sire", "given" : "Patricia", "non-dropping-particle" : "", "parse-names" : false, "suffix" : "" }, { "dropping-particle" : "", "family" : "Pasieka", "given" : "Janice L", "non-dropping-particle" : "", "parse-names" : false, "suffix" : "" }, { "dropping-particle" : "", "family" : "Rohmer", "given" : "Vincent", "non-dropping-particle" : "", "parse-names" : false, "suffix" : "" }, { "dropping-particle" : "", "family" : "Tucker", "given" : "Kathy", "non-dropping-particle" : "", "parse-names" : false, "suffix" : "" }, { "dropping-particle" : "", "family" : "Jeunemaitre", "given" : "Xavier", "non-dropping-particle" : "", "parse-names" : false, "suffix" : "" }, { "dropping-particle" : "", "family" : "Marsh", "given" : "Deborah J", "non-dropping-particle" : "", "parse-names" : false, "suffix" : "" }, { "dropping-particle" : "", "family" : "Plouin", "given" : "Pierre-Fran\u00e7ois", "non-dropping-particle" : "", "parse-names" : false, "suffix" : "" }, { "dropping-particle" : "", "family" : "Robinson", "given" : "Bruce G", "non-dropping-particle" : "", "parse-names" : false, "suffix" : "" } ], "container-title" : "The Journal of clinical endocrinology and metabolism", "id" : "ITEM-1", "issue" : "3", "issued" : { "date-parts" : [ [ "2006", "3" ] ] }, "page" : "827-36", "title" : "Clinical presentation and penetrance of pheochromocytoma/paraganglioma syndromes.", "type" : "article-journal", "volume" : "91" }, "uris" : [ "http://www.mendeley.com/documents/?uuid=d980bf61-5a5d-4032-b75d-5074fe55f748" ] } ], "mendeley" : { "formattedCitation" : "[14]", "plainTextFormattedCitation" : "[14]", "previouslyFormattedCitation" : "&lt;sup&gt;14&lt;/sup&gt;" }, "properties" : {  }, "schema" : "https://github.com/citation-style-language/schema/raw/master/csl-citation.json" }</w:instrText>
            </w:r>
            <w:r w:rsidR="005D6D2F">
              <w:rPr>
                <w:rFonts w:ascii="Calibri" w:hAnsi="Calibri"/>
                <w:color w:val="000000"/>
              </w:rPr>
              <w:fldChar w:fldCharType="separate"/>
            </w:r>
            <w:r w:rsidR="004B6A5D" w:rsidRPr="004B6A5D">
              <w:rPr>
                <w:rFonts w:ascii="Calibri" w:hAnsi="Calibri"/>
                <w:b w:val="0"/>
                <w:noProof/>
                <w:color w:val="000000"/>
              </w:rPr>
              <w:t>[14]</w:t>
            </w:r>
            <w:r w:rsidR="005D6D2F">
              <w:rPr>
                <w:rFonts w:ascii="Calibri" w:hAnsi="Calibri"/>
                <w:color w:val="000000"/>
              </w:rPr>
              <w:fldChar w:fldCharType="end"/>
            </w:r>
          </w:p>
        </w:tc>
        <w:tc>
          <w:tcPr>
            <w:tcW w:w="622" w:type="dxa"/>
            <w:noWrap/>
            <w:hideMark/>
          </w:tcPr>
          <w:p w14:paraId="1889E1A5"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82</w:t>
            </w:r>
          </w:p>
        </w:tc>
        <w:tc>
          <w:tcPr>
            <w:tcW w:w="622" w:type="dxa"/>
            <w:noWrap/>
            <w:hideMark/>
          </w:tcPr>
          <w:p w14:paraId="7CA22372"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43</w:t>
            </w:r>
          </w:p>
        </w:tc>
        <w:tc>
          <w:tcPr>
            <w:tcW w:w="672" w:type="dxa"/>
            <w:noWrap/>
            <w:hideMark/>
          </w:tcPr>
          <w:p w14:paraId="7336C891" w14:textId="0D1918B8" w:rsidR="00750489" w:rsidRPr="00750489" w:rsidRDefault="005D6D2F"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 -</w:t>
            </w:r>
          </w:p>
        </w:tc>
        <w:tc>
          <w:tcPr>
            <w:tcW w:w="521" w:type="dxa"/>
            <w:noWrap/>
            <w:hideMark/>
          </w:tcPr>
          <w:p w14:paraId="17B96222"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521" w:type="dxa"/>
            <w:noWrap/>
            <w:hideMark/>
          </w:tcPr>
          <w:p w14:paraId="3DF664C7"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672" w:type="dxa"/>
            <w:noWrap/>
            <w:hideMark/>
          </w:tcPr>
          <w:p w14:paraId="30850980"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N/A</w:t>
            </w:r>
          </w:p>
        </w:tc>
        <w:tc>
          <w:tcPr>
            <w:tcW w:w="622" w:type="dxa"/>
            <w:noWrap/>
            <w:hideMark/>
          </w:tcPr>
          <w:p w14:paraId="7ACA39DB"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30</w:t>
            </w:r>
          </w:p>
        </w:tc>
        <w:tc>
          <w:tcPr>
            <w:tcW w:w="622" w:type="dxa"/>
            <w:noWrap/>
            <w:hideMark/>
          </w:tcPr>
          <w:p w14:paraId="3B1A75E7"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19</w:t>
            </w:r>
          </w:p>
        </w:tc>
        <w:tc>
          <w:tcPr>
            <w:tcW w:w="640" w:type="dxa"/>
            <w:noWrap/>
            <w:hideMark/>
          </w:tcPr>
          <w:p w14:paraId="0129F5C4" w14:textId="71E8F1BC" w:rsidR="00750489" w:rsidRPr="00750489" w:rsidRDefault="005D6D2F"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 -</w:t>
            </w:r>
          </w:p>
        </w:tc>
        <w:tc>
          <w:tcPr>
            <w:tcW w:w="2000" w:type="dxa"/>
            <w:noWrap/>
            <w:hideMark/>
          </w:tcPr>
          <w:p w14:paraId="41C60152"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45% by age 40</w:t>
            </w:r>
          </w:p>
        </w:tc>
        <w:tc>
          <w:tcPr>
            <w:tcW w:w="1487" w:type="dxa"/>
            <w:noWrap/>
            <w:hideMark/>
          </w:tcPr>
          <w:p w14:paraId="642D8B91"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73% by age 40</w:t>
            </w:r>
          </w:p>
        </w:tc>
        <w:tc>
          <w:tcPr>
            <w:tcW w:w="5005" w:type="dxa"/>
            <w:noWrap/>
            <w:hideMark/>
          </w:tcPr>
          <w:p w14:paraId="42502ABE"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50489">
              <w:rPr>
                <w:rFonts w:ascii="Calibri" w:hAnsi="Calibri"/>
                <w:color w:val="000000"/>
              </w:rPr>
              <w:t>Kalplan</w:t>
            </w:r>
            <w:proofErr w:type="spellEnd"/>
            <w:r w:rsidRPr="00750489">
              <w:rPr>
                <w:rFonts w:ascii="Calibri" w:hAnsi="Calibri"/>
                <w:color w:val="000000"/>
              </w:rPr>
              <w:t xml:space="preserve"> Meier analysis of probands and non-probands combined</w:t>
            </w:r>
          </w:p>
        </w:tc>
      </w:tr>
      <w:tr w:rsidR="005D6D2F" w:rsidRPr="00750489" w14:paraId="60F3303B" w14:textId="77777777" w:rsidTr="000240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8" w:type="dxa"/>
            <w:noWrap/>
            <w:hideMark/>
          </w:tcPr>
          <w:p w14:paraId="31DC8D9F" w14:textId="5A172956" w:rsidR="00750489" w:rsidRPr="00750489" w:rsidRDefault="00750489" w:rsidP="005D6D2F">
            <w:pPr>
              <w:widowControl/>
              <w:suppressAutoHyphens w:val="0"/>
              <w:rPr>
                <w:rFonts w:ascii="Calibri" w:hAnsi="Calibri"/>
                <w:color w:val="000000"/>
              </w:rPr>
            </w:pPr>
            <w:proofErr w:type="spellStart"/>
            <w:r w:rsidRPr="00750489">
              <w:rPr>
                <w:rFonts w:ascii="Calibri" w:hAnsi="Calibri"/>
                <w:color w:val="000000"/>
              </w:rPr>
              <w:t>Mannelli</w:t>
            </w:r>
            <w:proofErr w:type="spellEnd"/>
            <w:r w:rsidRPr="00750489">
              <w:rPr>
                <w:rFonts w:ascii="Calibri" w:hAnsi="Calibri"/>
                <w:color w:val="000000"/>
              </w:rPr>
              <w:t xml:space="preserve"> et al. 2009</w:t>
            </w:r>
            <w:r w:rsidR="005D6D2F">
              <w:rPr>
                <w:rFonts w:ascii="Calibri" w:hAnsi="Calibri"/>
                <w:color w:val="000000"/>
              </w:rPr>
              <w:fldChar w:fldCharType="begin" w:fldLock="1"/>
            </w:r>
            <w:r w:rsidR="004B6A5D">
              <w:rPr>
                <w:rFonts w:ascii="Calibri" w:hAnsi="Calibri"/>
                <w:color w:val="000000"/>
              </w:rPr>
              <w:instrText>ADDIN CSL_CITATION { "citationItems" : [ { "id" : "ITEM-1", "itemData" : { "DOI" : "10.1210/jc.2008-2419", "ISSN" : "1945-7197", "PMID" : "19223516", "abstract" : "PURPOSE: The aim of the study was to define the frequency of hereditary forms and the genotype/phenotype correlations in a large cohort of Italian patients with pheochromocytomas and/or functional or nonfunctional paragangliomas.\n\nDESIGN: We examined 501 consecutive patients with pheochromocytomas and/or paragangliomas (secreting or nonsecreting). Complete medical and family histories, as well as the results of clinical, laboratory, and imaging studies, were recorded in a database. Patients were divided into different groups according to their family history, the presence of lesions outside adrenals/paraganglia considered syndromic for VHL disease, MEN2, and NF1, and the number and types of pheochromocytomas and/or paragangliomas. Germ-line mutations in known susceptibility genes were investigated by gene sequencing (VHL, RET, SDHB, SDHC, SDHD) or diagnosed according to phenotype (NF1). In 160 patients younger than 50 yr with a wild-type profile, multiplex ligation-dependent probe amplification assays were performed to detect genomic rearrangements.\n\nRESULTS: Germline mutations were detected in 32.1% of cases, but frequencies varied widely depending on the classification criteria and ranged from 100% in patients with associated syndromic lesions to 11.6% in patients with a single tumor and a negative family history. The types and number of pheochromocytomas/paragangliomas as well as age at presentation and malignancy suggest which gene should be screened first. Genomic rearrangements were found in two of 160 patients (1.2%).\n\nCONCLUSIONS: The frequency of the hereditary forms of pheochromocytoma/paraganglioma varies depending on the family history and the clinical presentation. A positive family history and an accurate clinical evaluation of patients are strong indicators of which genes should be screened first.", "author" : [ { "dropping-particle" : "", "family" : "Mannelli", "given" : "Massimo", "non-dropping-particle" : "", "parse-names" : false, "suffix" : "" }, { "dropping-particle" : "", "family" : "Castellano", "given" : "Maurizio", "non-dropping-particle" : "", "parse-names" : false, "suffix" : "" }, { "dropping-particle" : "", "family" : "Schiavi", "given" : "Francesca", "non-dropping-particle" : "", "parse-names" : false, "suffix" : "" }, { "dropping-particle" : "", "family" : "Filetti", "given" : "Sebastiano", "non-dropping-particle" : "", "parse-names" : false, "suffix" : "" }, { "dropping-particle" : "", "family" : "Giacch\u00e8", "given" : "Mara", "non-dropping-particle" : "", "parse-names" : false, "suffix" : "" }, { "dropping-particle" : "", "family" : "Mori", "given" : "Luigi", "non-dropping-particle" : "", "parse-names" : false, "suffix" : "" }, { "dropping-particle" : "", "family" : "Pignataro", "given" : "Viviana", "non-dropping-particle" : "", "parse-names" : false, "suffix" : "" }, { "dropping-particle" : "", "family" : "Bernini", "given" : "Gianpaolo", "non-dropping-particle" : "", "parse-names" : false, "suffix" : "" }, { "dropping-particle" : "", "family" : "Giach\u00e8", "given" : "Valentino", "non-dropping-particle" : "", "parse-names" : false, "suffix" : "" }, { "dropping-particle" : "", "family" : "Bacca", "given" : "Alessandra", "non-dropping-particle" : "", "parse-names" : false, "suffix" : "" }, { "dropping-particle" : "", "family" : "Biondi", "given" : "Bernadette", "non-dropping-particle" : "", "parse-names" : false, "suffix" : "" }, { "dropping-particle" : "", "family" : "Corona", "given" : "Giovanni", "non-dropping-particle" : "", "parse-names" : false, "suffix" : "" }, { "dropping-particle" : "", "family" : "Trapani", "given" : "Giuseppe", "non-dropping-particle" : "Di", "parse-names" : false, "suffix" : "" }, { "dropping-particle" : "", "family" : "Grossrubatscher", "given" : "Erika", "non-dropping-particle" : "", "parse-names" : false, "suffix" : "" }, { "dropping-particle" : "", "family" : "Reimondo", "given" : "Giuseppe", "non-dropping-particle" : "", "parse-names" : false, "suffix" : "" }, { "dropping-particle" : "", "family" : "Arnaldi", "given" : "Giorgio", "non-dropping-particle" : "", "parse-names" : false, "suffix" : "" }, { "dropping-particle" : "", "family" : "Giacchetti", "given" : "Gilberta", "non-dropping-particle" : "", "parse-names" : false, "suffix" : "" }, { "dropping-particle" : "", "family" : "Veglio", "given" : "Franco", "non-dropping-particle" : "", "parse-names" : false, "suffix" : "" }, { "dropping-particle" : "", "family" : "Loli", "given" : "Paola", "non-dropping-particle" : "", "parse-names" : false, "suffix" : "" }, { "dropping-particle" : "", "family" : "Colao", "given" : "Annamaria", "non-dropping-particle" : "", "parse-names" : false, "suffix" : "" }, { "dropping-particle" : "", "family" : "Ambrosio", "given" : "Maria Rosaria", "non-dropping-particle" : "", "parse-names" : false, "suffix" : "" }, { "dropping-particle" : "", "family" : "Terzolo", "given" : "Massimo", "non-dropping-particle" : "", "parse-names" : false, "suffix" : "" }, { "dropping-particle" : "", "family" : "Letizia", "given" : "Claudio", "non-dropping-particle" : "", "parse-names" : false, "suffix" : "" }, { "dropping-particle" : "", "family" : "Ercolino", "given" : "Tonino", "non-dropping-particle" : "", "parse-names" : false, "suffix" : "" }, { "dropping-particle" : "", "family" : "Opocher", "given" : "Giuseppe", "non-dropping-particle" : "", "parse-names" : false, "suffix" : "" } ], "container-title" : "The Journal of clinical endocrinology and metabolism", "id" : "ITEM-1", "issue" : "5", "issued" : { "date-parts" : [ [ "2009", "5", "2" ] ] }, "language" : "en", "page" : "1541-7", "publisher" : "Endocrine Society", "title" : "Clinically guided genetic screening in a large cohort of italian patients with pheochromocytomas and/or functional or nonfunctional paragangliomas.", "type" : "article-journal", "volume" : "94" }, "uris" : [ "http://www.mendeley.com/documents/?uuid=a57198fb-32a2-4302-82c1-c8084830cca0" ] } ], "mendeley" : { "formattedCitation" : "[15]", "plainTextFormattedCitation" : "[15]", "previouslyFormattedCitation" : "&lt;sup&gt;15&lt;/sup&gt;" }, "properties" : {  }, "schema" : "https://github.com/citation-style-language/schema/raw/master/csl-citation.json" }</w:instrText>
            </w:r>
            <w:r w:rsidR="005D6D2F">
              <w:rPr>
                <w:rFonts w:ascii="Calibri" w:hAnsi="Calibri"/>
                <w:color w:val="000000"/>
              </w:rPr>
              <w:fldChar w:fldCharType="separate"/>
            </w:r>
            <w:r w:rsidR="004B6A5D" w:rsidRPr="004B6A5D">
              <w:rPr>
                <w:rFonts w:ascii="Calibri" w:hAnsi="Calibri"/>
                <w:b w:val="0"/>
                <w:noProof/>
                <w:color w:val="000000"/>
              </w:rPr>
              <w:t>[15]</w:t>
            </w:r>
            <w:r w:rsidR="005D6D2F">
              <w:rPr>
                <w:rFonts w:ascii="Calibri" w:hAnsi="Calibri"/>
                <w:color w:val="000000"/>
              </w:rPr>
              <w:fldChar w:fldCharType="end"/>
            </w:r>
          </w:p>
        </w:tc>
        <w:tc>
          <w:tcPr>
            <w:tcW w:w="622" w:type="dxa"/>
            <w:noWrap/>
            <w:hideMark/>
          </w:tcPr>
          <w:p w14:paraId="7531DC08"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24</w:t>
            </w:r>
          </w:p>
        </w:tc>
        <w:tc>
          <w:tcPr>
            <w:tcW w:w="622" w:type="dxa"/>
            <w:noWrap/>
            <w:hideMark/>
          </w:tcPr>
          <w:p w14:paraId="14D325DB"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24</w:t>
            </w:r>
          </w:p>
        </w:tc>
        <w:tc>
          <w:tcPr>
            <w:tcW w:w="672" w:type="dxa"/>
            <w:noWrap/>
            <w:hideMark/>
          </w:tcPr>
          <w:p w14:paraId="035FFB49"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0.0</w:t>
            </w:r>
          </w:p>
        </w:tc>
        <w:tc>
          <w:tcPr>
            <w:tcW w:w="521" w:type="dxa"/>
            <w:noWrap/>
            <w:hideMark/>
          </w:tcPr>
          <w:p w14:paraId="1437BFE4"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4</w:t>
            </w:r>
          </w:p>
        </w:tc>
        <w:tc>
          <w:tcPr>
            <w:tcW w:w="521" w:type="dxa"/>
            <w:noWrap/>
            <w:hideMark/>
          </w:tcPr>
          <w:p w14:paraId="39C9534A"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4</w:t>
            </w:r>
          </w:p>
        </w:tc>
        <w:tc>
          <w:tcPr>
            <w:tcW w:w="672" w:type="dxa"/>
            <w:noWrap/>
            <w:hideMark/>
          </w:tcPr>
          <w:p w14:paraId="7B8CFFF7"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0.0</w:t>
            </w:r>
          </w:p>
        </w:tc>
        <w:tc>
          <w:tcPr>
            <w:tcW w:w="622" w:type="dxa"/>
            <w:noWrap/>
            <w:hideMark/>
          </w:tcPr>
          <w:p w14:paraId="6B44AEDF"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47</w:t>
            </w:r>
          </w:p>
        </w:tc>
        <w:tc>
          <w:tcPr>
            <w:tcW w:w="622" w:type="dxa"/>
            <w:noWrap/>
            <w:hideMark/>
          </w:tcPr>
          <w:p w14:paraId="44F5A2DD"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47</w:t>
            </w:r>
          </w:p>
        </w:tc>
        <w:tc>
          <w:tcPr>
            <w:tcW w:w="640" w:type="dxa"/>
            <w:noWrap/>
            <w:hideMark/>
          </w:tcPr>
          <w:p w14:paraId="1E75C9E2"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4.3</w:t>
            </w:r>
          </w:p>
        </w:tc>
        <w:tc>
          <w:tcPr>
            <w:tcW w:w="2000" w:type="dxa"/>
            <w:noWrap/>
            <w:hideMark/>
          </w:tcPr>
          <w:p w14:paraId="27CEB586"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 xml:space="preserve"> - </w:t>
            </w:r>
          </w:p>
        </w:tc>
        <w:tc>
          <w:tcPr>
            <w:tcW w:w="1487" w:type="dxa"/>
            <w:noWrap/>
            <w:hideMark/>
          </w:tcPr>
          <w:p w14:paraId="4016A807"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 xml:space="preserve"> - </w:t>
            </w:r>
          </w:p>
        </w:tc>
        <w:tc>
          <w:tcPr>
            <w:tcW w:w="5005" w:type="dxa"/>
            <w:noWrap/>
            <w:hideMark/>
          </w:tcPr>
          <w:p w14:paraId="4038DFEC" w14:textId="08FEB386" w:rsidR="00750489" w:rsidRPr="00750489" w:rsidRDefault="0002402C"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 -</w:t>
            </w:r>
          </w:p>
        </w:tc>
      </w:tr>
      <w:tr w:rsidR="005D6D2F" w:rsidRPr="00750489" w14:paraId="07A59006" w14:textId="77777777" w:rsidTr="0002402C">
        <w:trPr>
          <w:trHeight w:val="300"/>
        </w:trPr>
        <w:tc>
          <w:tcPr>
            <w:cnfStyle w:val="001000000000" w:firstRow="0" w:lastRow="0" w:firstColumn="1" w:lastColumn="0" w:oddVBand="0" w:evenVBand="0" w:oddHBand="0" w:evenHBand="0" w:firstRowFirstColumn="0" w:firstRowLastColumn="0" w:lastRowFirstColumn="0" w:lastRowLastColumn="0"/>
            <w:tcW w:w="2478" w:type="dxa"/>
            <w:noWrap/>
            <w:hideMark/>
          </w:tcPr>
          <w:p w14:paraId="6C8E3CEB" w14:textId="3CE45ED8" w:rsidR="00750489" w:rsidRPr="00750489" w:rsidRDefault="00750489" w:rsidP="005D6D2F">
            <w:pPr>
              <w:widowControl/>
              <w:suppressAutoHyphens w:val="0"/>
              <w:rPr>
                <w:rFonts w:ascii="Calibri" w:hAnsi="Calibri"/>
                <w:color w:val="000000"/>
              </w:rPr>
            </w:pPr>
            <w:proofErr w:type="spellStart"/>
            <w:r w:rsidRPr="00750489">
              <w:rPr>
                <w:rFonts w:ascii="Calibri" w:hAnsi="Calibri"/>
                <w:color w:val="000000"/>
              </w:rPr>
              <w:t>Erlic</w:t>
            </w:r>
            <w:proofErr w:type="spellEnd"/>
            <w:r w:rsidRPr="00750489">
              <w:rPr>
                <w:rFonts w:ascii="Calibri" w:hAnsi="Calibri"/>
                <w:color w:val="000000"/>
              </w:rPr>
              <w:t xml:space="preserve"> et al. 2009</w:t>
            </w:r>
            <w:r w:rsidR="005D6D2F">
              <w:rPr>
                <w:rFonts w:ascii="Calibri" w:hAnsi="Calibri"/>
                <w:color w:val="000000"/>
              </w:rPr>
              <w:fldChar w:fldCharType="begin" w:fldLock="1"/>
            </w:r>
            <w:r w:rsidR="004B6A5D">
              <w:rPr>
                <w:rFonts w:ascii="Calibri" w:hAnsi="Calibri"/>
                <w:color w:val="000000"/>
              </w:rPr>
              <w:instrText>ADDIN CSL_CITATION { "citationItems" : [ { "id" : "ITEM-1", "itemData" : { "DOI" : "10.1158/1078-0432.CCR-09-1237", "ISSN" : "1078-0432", "PMID" : "19825962", "abstract" : "PURPOSE: Six pheochromocytoma susceptibility genes causing distinct syndromes have been identified; approximately one of three of all pheochromocytoma patients carry a predisposing germline mutation. When four major genes (VHL, RET, SDHB, SDHD) are analyzed in a clinical laboratory, costs are approximately $3,400 per patient. The aim of the study is to systematically obtain a robust algorithm to identify who should be genetically tested, and to determine the order in which genes should be tested.\n\nEXPERIMENTAL DESIGN: DNA from 989 apparently nonsyndromic patients were scanned for germline mutations in the genes VHL, RET, SDHB, SDHC, and SDHD. Clinical parameters were analyzed as potential predictors for finding mutations by multiple logistic regression, validated by bootstrapping. Cost reduction was calculated between prioritized gene testing compared with that for all genes.\n\nRESULTS: Of 989 apparently nonsyndromic pheochromocytoma cases, 187 (19%) harbored germline mutations. Predictors for presence of mutation are age &lt;45 years, multiple pheochromocytoma, extra-adrenal location, and previous head and neck paraganglioma. If we used the presence of any one predictor as indicative of proceeding with gene testing, then 342 (34.6%) patients would be excluded, and only 8 carriers (4.3%) would be missed. We were also able to statistically model the priority of genes to be tested given certain clinical features. E.g., for patients with prior head and neck paraganglioma, the priority would be SDHD&gt;SDHB&gt;RET&gt;VHL. Using the clinical predictor algorithm to prioritize gene testing and order, a 44.7% cost reduction in diagnostic process can be achieved.\n\nCONCLUSIONS: Clinical parameters can predict for mutation carriers and help prioritize gene testing to reduce costs in nonsyndromic pheochromocytoma presentations.", "author" : [ { "dropping-particle" : "", "family" : "Erlic", "given" : "Zoran", "non-dropping-particle" : "", "parse-names" : false, "suffix" : "" }, { "dropping-particle" : "", "family" : "Rybicki", "given" : "Lisa", "non-dropping-particle" : "", "parse-names" : false, "suffix" : "" }, { "dropping-particle" : "", "family" : "Peczkowska", "given" : "Mariola", "non-dropping-particle" : "", "parse-names" : false, "suffix" : "" }, { "dropping-particle" : "", "family" : "Golcher", "given" : "Henriette", "non-dropping-particle" : "", "parse-names" : false, "suffix" : "" }, { "dropping-particle" : "", "family" : "Kann", "given" : "Peter H", "non-dropping-particle" : "", "parse-names" : false, "suffix" : "" }, { "dropping-particle" : "", "family" : "Brauckhoff", "given" : "Michael", "non-dropping-particle" : "", "parse-names" : false, "suffix" : "" }, { "dropping-particle" : "", "family" : "M\u00fcssig", "given" : "Karsten", "non-dropping-particle" : "", "parse-names" : false, "suffix" : "" }, { "dropping-particle" : "", "family" : "Muresan", "given" : "Michaela", "non-dropping-particle" : "", "parse-names" : false, "suffix" : "" }, { "dropping-particle" : "", "family" : "Sch\u00e4ffler", "given" : "Andreas", "non-dropping-particle" : "", "parse-names" : false, "suffix" : "" }, { "dropping-particle" : "", "family" : "Reisch", "given" : "Nicole", "non-dropping-particle" : "", "parse-names" : false, "suffix" : "" }, { "dropping-particle" : "", "family" : "Schott", "given" : "Matthias", "non-dropping-particle" : "", "parse-names" : false, "suffix" : "" }, { "dropping-particle" : "", "family" : "Fassnacht", "given" : "Martin", "non-dropping-particle" : "", "parse-names" : false, "suffix" : "" }, { "dropping-particle" : "", "family" : "Opocher", "given" : "Giuseppe", "non-dropping-particle" : "", "parse-names" : false, "suffix" : "" }, { "dropping-particle" : "", "family" : "Klose", "given" : "Silke", "non-dropping-particle" : "", "parse-names" : false, "suffix" : "" }, { "dropping-particle" : "", "family" : "Fottner", "given" : "Christian", "non-dropping-particle" : "", "parse-names" : false, "suffix" : "" }, { "dropping-particle" : "", "family" : "Forrer", "given" : "Flavio", "non-dropping-particle" : "", "parse-names" : false, "suffix" : "" }, { "dropping-particle" : "", "family" : "Pl\u00f6ckinger", "given" : "Ursula", "non-dropping-particle" : "", "parse-names" : false, "suffix" : "" }, { "dropping-particle" : "", "family" : "Petersenn", "given" : "Stephan", "non-dropping-particle" : "", "parse-names" : false, "suffix" : "" }, { "dropping-particle" : "", "family" : "Zabolotny", "given" : "Dimitry", "non-dropping-particle" : "", "parse-names" : false, "suffix" : "" }, { "dropping-particle" : "", "family" : "Kollukch", "given" : "Oleg", "non-dropping-particle" : "", "parse-names" : false, "suffix" : "" }, { "dropping-particle" : "", "family" : "Yaremchuk", "given" : "Svetlana", "non-dropping-particle" : "", "parse-names" : false, "suffix" : "" }, { "dropping-particle" : "", "family" : "Januszewicz", "given" : "Andrzej", "non-dropping-particle" : "", "parse-names" : false, "suffix" : "" }, { "dropping-particle" : "", "family" : "Walz", "given" : "Martin K", "non-dropping-particle" : "", "parse-names" : false, "suffix" : "" }, { "dropping-particle" : "", "family" : "Eng", "given" : "Charis", "non-dropping-particle" : "", "parse-names" : false, "suffix" : "" }, { "dropping-particle" : "", "family" : "Neumann", "given" : "Hartmut P H", "non-dropping-particle" : "", "parse-names" : false, "suffix" : "" } ], "container-title" : "Clinical cancer research : an official journal of the American Association for Cancer Research", "id" : "ITEM-1", "issue" : "20", "issued" : { "date-parts" : [ [ "2009", "10", "15" ] ] }, "page" : "6378-85", "title" : "Clinical predictors and algorithm for the genetic diagnosis of pheochromocytoma patients.", "type" : "article-journal", "volume" : "15" }, "uris" : [ "http://www.mendeley.com/documents/?uuid=dd0d4d6c-4591-482a-abd7-55df8cd466cf" ] } ], "mendeley" : { "formattedCitation" : "[16]", "plainTextFormattedCitation" : "[16]", "previouslyFormattedCitation" : "&lt;sup&gt;16&lt;/sup&gt;" }, "properties" : {  }, "schema" : "https://github.com/citation-style-language/schema/raw/master/csl-citation.json" }</w:instrText>
            </w:r>
            <w:r w:rsidR="005D6D2F">
              <w:rPr>
                <w:rFonts w:ascii="Calibri" w:hAnsi="Calibri"/>
                <w:color w:val="000000"/>
              </w:rPr>
              <w:fldChar w:fldCharType="separate"/>
            </w:r>
            <w:r w:rsidR="004B6A5D" w:rsidRPr="004B6A5D">
              <w:rPr>
                <w:rFonts w:ascii="Calibri" w:hAnsi="Calibri"/>
                <w:b w:val="0"/>
                <w:noProof/>
                <w:color w:val="000000"/>
              </w:rPr>
              <w:t>[16]</w:t>
            </w:r>
            <w:r w:rsidR="005D6D2F">
              <w:rPr>
                <w:rFonts w:ascii="Calibri" w:hAnsi="Calibri"/>
                <w:color w:val="000000"/>
              </w:rPr>
              <w:fldChar w:fldCharType="end"/>
            </w:r>
          </w:p>
        </w:tc>
        <w:tc>
          <w:tcPr>
            <w:tcW w:w="622" w:type="dxa"/>
            <w:noWrap/>
            <w:hideMark/>
          </w:tcPr>
          <w:p w14:paraId="27C3FC62"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73</w:t>
            </w:r>
          </w:p>
        </w:tc>
        <w:tc>
          <w:tcPr>
            <w:tcW w:w="622" w:type="dxa"/>
            <w:noWrap/>
            <w:hideMark/>
          </w:tcPr>
          <w:p w14:paraId="24B5FC91"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73</w:t>
            </w:r>
          </w:p>
        </w:tc>
        <w:tc>
          <w:tcPr>
            <w:tcW w:w="672" w:type="dxa"/>
            <w:noWrap/>
            <w:hideMark/>
          </w:tcPr>
          <w:p w14:paraId="74A70CA8"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19.0</w:t>
            </w:r>
          </w:p>
        </w:tc>
        <w:tc>
          <w:tcPr>
            <w:tcW w:w="521" w:type="dxa"/>
            <w:noWrap/>
            <w:hideMark/>
          </w:tcPr>
          <w:p w14:paraId="479D7BE5"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2</w:t>
            </w:r>
          </w:p>
        </w:tc>
        <w:tc>
          <w:tcPr>
            <w:tcW w:w="521" w:type="dxa"/>
            <w:noWrap/>
            <w:hideMark/>
          </w:tcPr>
          <w:p w14:paraId="7FA6EB8F"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2</w:t>
            </w:r>
          </w:p>
        </w:tc>
        <w:tc>
          <w:tcPr>
            <w:tcW w:w="672" w:type="dxa"/>
            <w:noWrap/>
            <w:hideMark/>
          </w:tcPr>
          <w:p w14:paraId="41A7D851"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50.0</w:t>
            </w:r>
          </w:p>
        </w:tc>
        <w:tc>
          <w:tcPr>
            <w:tcW w:w="622" w:type="dxa"/>
            <w:noWrap/>
            <w:hideMark/>
          </w:tcPr>
          <w:p w14:paraId="5F226F92"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28</w:t>
            </w:r>
          </w:p>
        </w:tc>
        <w:tc>
          <w:tcPr>
            <w:tcW w:w="622" w:type="dxa"/>
            <w:noWrap/>
            <w:hideMark/>
          </w:tcPr>
          <w:p w14:paraId="471F0D34"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28</w:t>
            </w:r>
          </w:p>
        </w:tc>
        <w:tc>
          <w:tcPr>
            <w:tcW w:w="640" w:type="dxa"/>
            <w:noWrap/>
            <w:hideMark/>
          </w:tcPr>
          <w:p w14:paraId="0D4A6394"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1.1</w:t>
            </w:r>
          </w:p>
        </w:tc>
        <w:tc>
          <w:tcPr>
            <w:tcW w:w="2000" w:type="dxa"/>
            <w:noWrap/>
            <w:hideMark/>
          </w:tcPr>
          <w:p w14:paraId="79DAD684"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 xml:space="preserve"> - </w:t>
            </w:r>
          </w:p>
        </w:tc>
        <w:tc>
          <w:tcPr>
            <w:tcW w:w="1487" w:type="dxa"/>
            <w:noWrap/>
            <w:hideMark/>
          </w:tcPr>
          <w:p w14:paraId="5B64772B"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 xml:space="preserve"> - </w:t>
            </w:r>
          </w:p>
        </w:tc>
        <w:tc>
          <w:tcPr>
            <w:tcW w:w="5005" w:type="dxa"/>
            <w:noWrap/>
            <w:hideMark/>
          </w:tcPr>
          <w:p w14:paraId="383C9825" w14:textId="2E39D454" w:rsidR="00750489" w:rsidRPr="00750489" w:rsidRDefault="0002402C"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 -</w:t>
            </w:r>
          </w:p>
        </w:tc>
      </w:tr>
      <w:tr w:rsidR="005D6D2F" w:rsidRPr="00750489" w14:paraId="4F8B0C73" w14:textId="77777777" w:rsidTr="000240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8" w:type="dxa"/>
            <w:noWrap/>
            <w:hideMark/>
          </w:tcPr>
          <w:p w14:paraId="7592DBB7" w14:textId="7459823D" w:rsidR="00750489" w:rsidRPr="00750489" w:rsidRDefault="00750489" w:rsidP="005D6D2F">
            <w:pPr>
              <w:widowControl/>
              <w:suppressAutoHyphens w:val="0"/>
              <w:rPr>
                <w:rFonts w:ascii="Calibri" w:hAnsi="Calibri"/>
                <w:color w:val="000000"/>
              </w:rPr>
            </w:pPr>
            <w:r w:rsidRPr="00750489">
              <w:rPr>
                <w:rFonts w:ascii="Calibri" w:hAnsi="Calibri"/>
                <w:color w:val="000000"/>
              </w:rPr>
              <w:t>Neumann et al. 2009</w:t>
            </w:r>
            <w:r w:rsidR="005D6D2F">
              <w:rPr>
                <w:rFonts w:ascii="Calibri" w:hAnsi="Calibri"/>
                <w:color w:val="000000"/>
              </w:rPr>
              <w:fldChar w:fldCharType="begin" w:fldLock="1"/>
            </w:r>
            <w:r w:rsidR="004B6A5D">
              <w:rPr>
                <w:rFonts w:ascii="Calibri" w:hAnsi="Calibri"/>
                <w:color w:val="000000"/>
              </w:rPr>
              <w:instrText>ADDIN CSL_CITATION { "citationItems" : [ { "id" : "ITEM-1", "itemData" : { "DOI" : "10.1158/0008-5472.CAN-08-4057", "ISSN" : "1538-7445", "PMID" : "19351833", "abstract" : "Multiple genes and their variants that lend susceptibility to many diseases will play a major role in clinical routine. Genetics-based cost reduction strategies in diagnostic processes are important in the setting of multiple susceptibility genes for a single disease. Head and neck paraganglioma (HNP) is caused by germline mutations of at least three succinate dehydrogenase subunit genes (SDHx). Mutation analysis for all 3 costs approximately US$2,700 per patient. Genetic classification is essential for downstream management of the patient and preemptive management of family members. Utilizing HNP as a model, we wanted to determine predictors to prioritize the most heritable clinical presentations and which gene to begin testing in HNP presentations, to reduce costs of genetic screening. Patients were tested for SDHB, SDHC, and SDHD intragenic mutations and large deletions. Clinical parameters were analyzed as potential predictors for finding germline mutations. Cost reduction was calculated between prioritized gene testing compared with that for all genes. Of 598 patients, 30.6% had SDHx germline mutations: 34.4% in SDHB, 14.2% SDHC, and 51.4% SDHD. Predictors for an SDHx mutation are family history [odds ratio (OR), 37.9], previous pheochromocytoma (OR, 10.9), multiple HNP (OR, 10.6), age &lt;or=40 years (OR, 4.0), and male gender (OR, 3.5). By screening only preselected cases and a stepwise approach, 60% cost reduction can be achieved, with 91.8% sensitivity and 94.5% negative predictive value. Our data give evidence that clinical parameters can predict for mutation and help prioritize gene testing to reduce costs in HNP. Such strategy is cost-saving in the practice of genetics-based personalized health care.", "author" : [ { "dropping-particle" : "", "family" : "Neumann", "given" : "Hartmut P H", "non-dropping-particle" : "", "parse-names" : false, "suffix" : "" }, { "dropping-particle" : "", "family" : "Erlic", "given" : "Zoran", "non-dropping-particle" : "", "parse-names" : false, "suffix" : "" }, { "dropping-particle" : "", "family" : "Boedeker", "given" : "Carsten C", "non-dropping-particle" : "", "parse-names" : false, "suffix" : "" }, { "dropping-particle" : "", "family" : "Rybicki", "given" : "Lisa a", "non-dropping-particle" : "", "parse-names" : false, "suffix" : "" }, { "dropping-particle" : "", "family" : "Robledo", "given" : "Mercedes", "non-dropping-particle" : "", "parse-names" : false, "suffix" : "" }, { "dropping-particle" : "", "family" : "Hermsen", "given" : "Mario", "non-dropping-particle" : "", "parse-names" : false, "suffix" : "" }, { "dropping-particle" : "", "family" : "Schiavi", "given" : "Francesca", "non-dropping-particle" : "", "parse-names" : false, "suffix" : "" }, { "dropping-particle" : "", "family" : "Falcioni", "given" : "Maurizio", "non-dropping-particle" : "", "parse-names" : false, "suffix" : "" }, { "dropping-particle" : "", "family" : "Kwok", "given" : "Pingling", "non-dropping-particle" : "", "parse-names" : false, "suffix" : "" }, { "dropping-particle" : "", "family" : "Bauters", "given" : "Catherine", "non-dropping-particle" : "", "parse-names" : false, "suffix" : "" }, { "dropping-particle" : "", "family" : "Lampe", "given" : "Karen", "non-dropping-particle" : "", "parse-names" : false, "suffix" : "" }, { "dropping-particle" : "", "family" : "Fischer", "given" : "Markus", "non-dropping-particle" : "", "parse-names" : false, "suffix" : "" }, { "dropping-particle" : "", "family" : "Edelman", "given" : "Emily", "non-dropping-particle" : "", "parse-names" : false, "suffix" : "" }, { "dropping-particle" : "", "family" : "Benn", "given" : "Diana E", "non-dropping-particle" : "", "parse-names" : false, "suffix" : "" }, { "dropping-particle" : "", "family" : "Robinson", "given" : "Bruce G", "non-dropping-particle" : "", "parse-names" : false, "suffix" : "" }, { "dropping-particle" : "", "family" : "Wiegand", "given" : "Stefanie", "non-dropping-particle" : "", "parse-names" : false, "suffix" : "" }, { "dropping-particle" : "", "family" : "Rasp", "given" : "Gerd", "non-dropping-particle" : "", "parse-names" : false, "suffix" : "" }, { "dropping-particle" : "", "family" : "Stuck", "given" : "Boris a", "non-dropping-particle" : "", "parse-names" : false, "suffix" : "" }, { "dropping-particle" : "", "family" : "Hoffmann", "given" : "Michael M", "non-dropping-particle" : "", "parse-names" : false, "suffix" : "" }, { "dropping-particle" : "", "family" : "Sullivan", "given" : "Maren", "non-dropping-particle" : "", "parse-names" : false, "suffix" : "" }, { "dropping-particle" : "", "family" : "Sevilla", "given" : "Maria a", "non-dropping-particle" : "", "parse-names" : false, "suffix" : "" }, { "dropping-particle" : "", "family" : "Weiss", "given" : "Marjan M", "non-dropping-particle" : "", "parse-names" : false, "suffix" : "" }, { "dropping-particle" : "", "family" : "Peczkowska", "given" : "Mariola", "non-dropping-particle" : "", "parse-names" : false, "suffix" : "" }, { "dropping-particle" : "", "family" : "Kubaszek", "given" : "Agata", "non-dropping-particle" : "", "parse-names" : false, "suffix" : "" }, { "dropping-particle" : "", "family" : "Pigny", "given" : "Pascal", "non-dropping-particle" : "", "parse-names" : false, "suffix" : "" }, { "dropping-particle" : "", "family" : "Ward", "given" : "Robyn L", "non-dropping-particle" : "", "parse-names" : false, "suffix" : "" }, { "dropping-particle" : "", "family" : "Learoyd", "given" : "Diana", "non-dropping-particle" : "", "parse-names" : false, "suffix" : "" }, { "dropping-particle" : "", "family" : "Croxson", "given" : "Michael", "non-dropping-particle" : "", "parse-names" : false, "suffix" : "" }, { "dropping-particle" : "", "family" : "Zabolotny", "given" : "Dmitry", "non-dropping-particle" : "", "parse-names" : false, "suffix" : "" }, { "dropping-particle" : "", "family" : "Yaremchuk", "given" : "Svetlana", "non-dropping-particle" : "", "parse-names" : false, "suffix" : "" }, { "dropping-particle" : "", "family" : "Draf", "given" : "Wolfgang", "non-dropping-particle" : "", "parse-names" : false, "suffix" : "" }, { "dropping-particle" : "", "family" : "Muresan", "given" : "Mihaela", "non-dropping-particle" : "", "parse-names" : false, "suffix" : "" }, { "dropping-particle" : "", "family" : "Lorenz", "given" : "Robert R", "non-dropping-particle" : "", "parse-names" : false, "suffix" : "" }, { "dropping-particle" : "", "family" : "Knipping", "given" : "Stephan", "non-dropping-particle" : "", "parse-names" : false, "suffix" : "" }, { "dropping-particle" : "", "family" : "Strohm", "given" : "Michael", "non-dropping-particle" : "", "parse-names" : false, "suffix" : "" }, { "dropping-particle" : "", "family" : "Dyckhoff", "given" : "Gerhard", "non-dropping-particle" : "", "parse-names" : false, "suffix" : "" }, { "dropping-particle" : "", "family" : "Matthias", "given" : "Christoph", "non-dropping-particle" : "", "parse-names" : false, "suffix" : "" }, { "dropping-particle" : "", "family" : "Reisch", "given" : "Nicole", "non-dropping-particle" : "", "parse-names" : false, "suffix" : "" }, { "dropping-particle" : "", "family" : "Preuss", "given" : "Simon F", "non-dropping-particle" : "", "parse-names" : false, "suffix" : "" }, { "dropping-particle" : "", "family" : "Esser", "given" : "Dirk", "non-dropping-particle" : "", "parse-names" : false, "suffix" : "" }, { "dropping-particle" : "", "family" : "Walter", "given" : "Martin a", "non-dropping-particle" : "", "parse-names" : false, "suffix" : "" }, { "dropping-particle" : "", "family" : "Kaftan", "given" : "Holger", "non-dropping-particle" : "", "parse-names" : false, "suffix" : "" }, { "dropping-particle" : "", "family" : "St\u00f6ver", "given" : "Timo", "non-dropping-particle" : "", "parse-names" : false, "suffix" : "" }, { "dropping-particle" : "", "family" : "Fottner", "given" : "Christian", "non-dropping-particle" : "", "parse-names" : false, "suffix" : "" }, { "dropping-particle" : "", "family" : "Gorgulla", "given" : "Harald", "non-dropping-particle" : "", "parse-names" : false, "suffix" : "" }, { "dropping-particle" : "", "family" : "Malekpour", "given" : "Mahdi", "non-dropping-particle" : "", "parse-names" : false, "suffix" : "" }, { "dropping-particle" : "", "family" : "Zarandy", "given" : "Masoud Motasaddi", "non-dropping-particle" : "", "parse-names" : false, "suffix" : "" }, { "dropping-particle" : "", "family" : "Schipper", "given" : "J\u00f6rg", "non-dropping-particle" : "", "parse-names" : false, "suffix" : "" }, { "dropping-particle" : "", "family" : "Brase", "given" : "Christoph", "non-dropping-particle" : "", "parse-names" : false, "suffix" : "" }, { "dropping-particle" : "", "family" : "Glien", "given" : "Alexander", "non-dropping-particle" : "", "parse-names" : false, "suffix" : "" }, { "dropping-particle" : "", "family" : "K\u00fchnemund", "given" : "Matthias", "non-dropping-particle" : "", "parse-names" : false, "suffix" : "" }, { "dropping-particle" : "", "family" : "Koscielny", "given" : "Sven", "non-dropping-particle" : "", "parse-names" : false, "suffix" : "" }, { "dropping-particle" : "", "family" : "Schwerdtfeger", "given" : "Peter", "non-dropping-particle" : "", "parse-names" : false, "suffix" : "" }, { "dropping-particle" : "", "family" : "V\u00e4lim\u00e4ki", "given" : "Matti", "non-dropping-particle" : "", "parse-names" : false, "suffix" : "" }, { "dropping-particle" : "", "family" : "Szyfter", "given" : "Witold", "non-dropping-particle" : "", "parse-names" : false, "suffix" : "" }, { "dropping-particle" : "", "family" : "Finckh", "given" : "Ulrich", "non-dropping-particle" : "", "parse-names" : false, "suffix" : "" }, { "dropping-particle" : "", "family" : "Zerres", "given" : "Klaus", "non-dropping-particle" : "", "parse-names" : false, "suffix" : "" }, { "dropping-particle" : "", "family" : "Cascon", "given" : "Alberto", "non-dropping-particle" : "", "parse-names" : false, "suffix" : "" }, { "dropping-particle" : "", "family" : "Opocher", "given" : "Giuseppe", "non-dropping-particle" : "", "parse-names" : false, "suffix" : "" }, { "dropping-particle" : "", "family" : "Ridder", "given" : "Gerd J", "non-dropping-particle" : "", "parse-names" : false, "suffix" : "" }, { "dropping-particle" : "", "family" : "Januszewicz", "given" : "Andrzej", "non-dropping-particle" : "", "parse-names" : false, "suffix" : "" }, { "dropping-particle" : "", "family" : "Suarez", "given" : "Carlos", "non-dropping-particle" : "", "parse-names" : false, "suffix" : "" }, { "dropping-particle" : "", "family" : "Eng", "given" : "Charis", "non-dropping-particle" : "", "parse-names" : false, "suffix" : "" } ], "container-title" : "Cancer research", "id" : "ITEM-1", "issue" : "8", "issued" : { "date-parts" : [ [ "2009", "4", "15" ] ] }, "page" : "3650-6", "title" : "Clinical predictors for germline mutations in head and neck paraganglioma patients: cost reduction strategy in genetic diagnostic process as fall-out.", "type" : "article-journal", "volume" : "69" }, "uris" : [ "http://www.mendeley.com/documents/?uuid=47040dd1-0e55-4ea2-8357-50dfa472b113" ] } ], "mendeley" : { "formattedCitation" : "[17]", "plainTextFormattedCitation" : "[17]", "previouslyFormattedCitation" : "&lt;sup&gt;17&lt;/sup&gt;" }, "properties" : {  }, "schema" : "https://github.com/citation-style-language/schema/raw/master/csl-citation.json" }</w:instrText>
            </w:r>
            <w:r w:rsidR="005D6D2F">
              <w:rPr>
                <w:rFonts w:ascii="Calibri" w:hAnsi="Calibri"/>
                <w:color w:val="000000"/>
              </w:rPr>
              <w:fldChar w:fldCharType="separate"/>
            </w:r>
            <w:r w:rsidR="004B6A5D" w:rsidRPr="004B6A5D">
              <w:rPr>
                <w:rFonts w:ascii="Calibri" w:hAnsi="Calibri"/>
                <w:b w:val="0"/>
                <w:noProof/>
                <w:color w:val="000000"/>
              </w:rPr>
              <w:t>[17]</w:t>
            </w:r>
            <w:r w:rsidR="005D6D2F">
              <w:rPr>
                <w:rFonts w:ascii="Calibri" w:hAnsi="Calibri"/>
                <w:color w:val="000000"/>
              </w:rPr>
              <w:fldChar w:fldCharType="end"/>
            </w:r>
          </w:p>
        </w:tc>
        <w:tc>
          <w:tcPr>
            <w:tcW w:w="622" w:type="dxa"/>
            <w:noWrap/>
            <w:hideMark/>
          </w:tcPr>
          <w:p w14:paraId="1E03FBC3"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63</w:t>
            </w:r>
          </w:p>
        </w:tc>
        <w:tc>
          <w:tcPr>
            <w:tcW w:w="622" w:type="dxa"/>
            <w:noWrap/>
            <w:hideMark/>
          </w:tcPr>
          <w:p w14:paraId="19DE1A1F"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63</w:t>
            </w:r>
          </w:p>
        </w:tc>
        <w:tc>
          <w:tcPr>
            <w:tcW w:w="672" w:type="dxa"/>
            <w:noWrap/>
            <w:hideMark/>
          </w:tcPr>
          <w:p w14:paraId="789CC62A"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11.0</w:t>
            </w:r>
          </w:p>
        </w:tc>
        <w:tc>
          <w:tcPr>
            <w:tcW w:w="521" w:type="dxa"/>
            <w:noWrap/>
            <w:hideMark/>
          </w:tcPr>
          <w:p w14:paraId="316B2E39"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26</w:t>
            </w:r>
          </w:p>
        </w:tc>
        <w:tc>
          <w:tcPr>
            <w:tcW w:w="521" w:type="dxa"/>
            <w:noWrap/>
            <w:hideMark/>
          </w:tcPr>
          <w:p w14:paraId="77D90902"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26</w:t>
            </w:r>
          </w:p>
        </w:tc>
        <w:tc>
          <w:tcPr>
            <w:tcW w:w="672" w:type="dxa"/>
            <w:noWrap/>
            <w:hideMark/>
          </w:tcPr>
          <w:p w14:paraId="5C3B9CCB"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11.0</w:t>
            </w:r>
          </w:p>
        </w:tc>
        <w:tc>
          <w:tcPr>
            <w:tcW w:w="622" w:type="dxa"/>
            <w:noWrap/>
            <w:hideMark/>
          </w:tcPr>
          <w:p w14:paraId="75FAF661"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94</w:t>
            </w:r>
          </w:p>
        </w:tc>
        <w:tc>
          <w:tcPr>
            <w:tcW w:w="622" w:type="dxa"/>
            <w:noWrap/>
            <w:hideMark/>
          </w:tcPr>
          <w:p w14:paraId="37CAD0E3"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94</w:t>
            </w:r>
          </w:p>
        </w:tc>
        <w:tc>
          <w:tcPr>
            <w:tcW w:w="640" w:type="dxa"/>
            <w:noWrap/>
            <w:hideMark/>
          </w:tcPr>
          <w:p w14:paraId="7ABC72CC"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6.3</w:t>
            </w:r>
          </w:p>
        </w:tc>
        <w:tc>
          <w:tcPr>
            <w:tcW w:w="2000" w:type="dxa"/>
            <w:noWrap/>
            <w:hideMark/>
          </w:tcPr>
          <w:p w14:paraId="2A8CF040"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 xml:space="preserve"> - </w:t>
            </w:r>
          </w:p>
        </w:tc>
        <w:tc>
          <w:tcPr>
            <w:tcW w:w="1487" w:type="dxa"/>
            <w:noWrap/>
            <w:hideMark/>
          </w:tcPr>
          <w:p w14:paraId="7BE98FB4"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 xml:space="preserve"> - </w:t>
            </w:r>
          </w:p>
        </w:tc>
        <w:tc>
          <w:tcPr>
            <w:tcW w:w="5005" w:type="dxa"/>
            <w:noWrap/>
            <w:hideMark/>
          </w:tcPr>
          <w:p w14:paraId="4A3ADF08" w14:textId="7B935A47" w:rsidR="00750489" w:rsidRPr="00750489" w:rsidRDefault="0002402C"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 -</w:t>
            </w:r>
          </w:p>
        </w:tc>
      </w:tr>
      <w:tr w:rsidR="005D6D2F" w:rsidRPr="00750489" w14:paraId="6983E75D" w14:textId="77777777" w:rsidTr="0002402C">
        <w:trPr>
          <w:trHeight w:val="300"/>
        </w:trPr>
        <w:tc>
          <w:tcPr>
            <w:cnfStyle w:val="001000000000" w:firstRow="0" w:lastRow="0" w:firstColumn="1" w:lastColumn="0" w:oddVBand="0" w:evenVBand="0" w:oddHBand="0" w:evenHBand="0" w:firstRowFirstColumn="0" w:firstRowLastColumn="0" w:lastRowFirstColumn="0" w:lastRowLastColumn="0"/>
            <w:tcW w:w="2478" w:type="dxa"/>
            <w:noWrap/>
            <w:hideMark/>
          </w:tcPr>
          <w:p w14:paraId="246969C0" w14:textId="634193A4" w:rsidR="00750489" w:rsidRPr="00750489" w:rsidRDefault="00750489" w:rsidP="005D6D2F">
            <w:pPr>
              <w:widowControl/>
              <w:suppressAutoHyphens w:val="0"/>
              <w:rPr>
                <w:rFonts w:ascii="Calibri" w:hAnsi="Calibri"/>
                <w:color w:val="000000"/>
              </w:rPr>
            </w:pPr>
            <w:proofErr w:type="spellStart"/>
            <w:r w:rsidRPr="00750489">
              <w:rPr>
                <w:rFonts w:ascii="Calibri" w:hAnsi="Calibri"/>
                <w:color w:val="000000"/>
              </w:rPr>
              <w:t>Burnichon</w:t>
            </w:r>
            <w:proofErr w:type="spellEnd"/>
            <w:r w:rsidRPr="00750489">
              <w:rPr>
                <w:rFonts w:ascii="Calibri" w:hAnsi="Calibri"/>
                <w:color w:val="000000"/>
              </w:rPr>
              <w:t xml:space="preserve"> et al. 2009</w:t>
            </w:r>
            <w:r w:rsidR="005D6D2F">
              <w:rPr>
                <w:rFonts w:ascii="Calibri" w:hAnsi="Calibri"/>
                <w:color w:val="000000"/>
              </w:rPr>
              <w:fldChar w:fldCharType="begin" w:fldLock="1"/>
            </w:r>
            <w:r w:rsidR="004B6A5D">
              <w:rPr>
                <w:rFonts w:ascii="Calibri" w:hAnsi="Calibri"/>
                <w:color w:val="000000"/>
              </w:rPr>
              <w:instrText>ADDIN CSL_CITATION { "citationItems" : [ { "id" : "ITEM-1", "itemData" : { "DOI" : "10.1210/jc.2008-2504", "ISSN" : "1945-7197", "PMID" : "19454582", "abstract" : "CONTEXT: Germline mutations in SDHx genes cause hereditary paraganglioma.\n\nOBJECTIVE: The aim of the study was to assess the indications for succinate dehydrogenase (SDH) genetic testing in a prospective study.\n\nDESIGN: A total of 445 patients with head and neck and/or thoracic-abdominal or pelvic paragangliomas were recruited over 5 yr in 20 referral centers. In addition to classical direct sequencing of the SDHB, SDHC, and SDHD genes, two methods for detecting large genomic deletions or duplications were used, quantitative multiplex PCR of short fluorescent fragments (QMPSF) and multiplex ligation-dependent probe amplification (MLPA).\n\nRESULTS: A large variety of SDH germline mutations were found by direct sequencing in 220 patients and by QMPSF and MLPA in 22 patients (9.1%): 130 in SDHD, 96 in SDHB, and 16 in SDHC. Mutation carriers were younger and more frequently had multiple or malignant paraganglioma than patients without mutations. A head and neck paraganglioma was present in 97.7% of the SDHD and 87.5% of the SDHC mutation carriers, but in only 42.7% of the SDHB carriers. A thoracic-abdominal or pelvic location was present in 63.5% of the SDHB, 16.1% of the SDHD, and in 12.5% of the SDHC mutation carriers. Multiple paragangliomas were diagnosed in 66.9% of the SDHD mutation carriers. A malignant paraganglioma was documented in 37.5% of the SDHB, 3.1% of the SDHD, and none of the SDHC mutation carriers.\n\nCONCLUSIONS: SDH genetic testing, including tests for large genomic deletions, is indicated in all patients with head and neck and/or thoracic-abdominal or pelvic paraganglioma and can be targeted according to clinical criteria.", "author" : [ { "dropping-particle" : "", "family" : "Burnichon", "given" : "Nelly", "non-dropping-particle" : "", "parse-names" : false, "suffix" : "" }, { "dropping-particle" : "", "family" : "Rohmer", "given" : "Vincent", "non-dropping-particle" : "", "parse-names" : false, "suffix" : "" }, { "dropping-particle" : "", "family" : "Amar", "given" : "Laurence", "non-dropping-particle" : "", "parse-names" : false, "suffix" : "" }, { "dropping-particle" : "", "family" : "Herman", "given" : "Philippe", "non-dropping-particle" : "", "parse-names" : false, "suffix" : "" }, { "dropping-particle" : "", "family" : "Leboulleux", "given" : "Sophie", "non-dropping-particle" : "", "parse-names" : false, "suffix" : "" }, { "dropping-particle" : "", "family" : "Darrouzet", "given" : "Vincent", "non-dropping-particle" : "", "parse-names" : false, "suffix" : "" }, { "dropping-particle" : "", "family" : "Niccoli", "given" : "Patricia", "non-dropping-particle" : "", "parse-names" : false, "suffix" : "" }, { "dropping-particle" : "", "family" : "Gaillard", "given" : "Dominique", "non-dropping-particle" : "", "parse-names" : false, "suffix" : "" }, { "dropping-particle" : "", "family" : "Chabrier", "given" : "G\u00e9rard", "non-dropping-particle" : "", "parse-names" : false, "suffix" : "" }, { "dropping-particle" : "", "family" : "Chabolle", "given" : "Fr\u00e9d\u00e9ric", "non-dropping-particle" : "", "parse-names" : false, "suffix" : "" }, { "dropping-particle" : "", "family" : "Coupier", "given" : "Isabelle", "non-dropping-particle" : "", "parse-names" : false, "suffix" : "" }, { "dropping-particle" : "", "family" : "Thieblot", "given" : "Philippe", "non-dropping-particle" : "", "parse-names" : false, "suffix" : "" }, { "dropping-particle" : "", "family" : "Lecomte", "given" : "Pierre", "non-dropping-particle" : "", "parse-names" : false, "suffix" : "" }, { "dropping-particle" : "", "family" : "Bertherat", "given" : "J\u00e9r\u00f4me", "non-dropping-particle" : "", "parse-names" : false, "suffix" : "" }, { "dropping-particle" : "", "family" : "Wion-Barbot", "given" : "Nelly", "non-dropping-particle" : "", "parse-names" : false, "suffix" : "" }, { "dropping-particle" : "", "family" : "Murat", "given" : "Arnaud", "non-dropping-particle" : "", "parse-names" : false, "suffix" : "" }, { "dropping-particle" : "", "family" : "Venisse", "given" : "Annabelle", "non-dropping-particle" : "", "parse-names" : false, "suffix" : "" }, { "dropping-particle" : "", "family" : "Plouin", "given" : "Pierre-Fran\u00e7ois", "non-dropping-particle" : "", "parse-names" : false, "suffix" : "" }, { "dropping-particle" : "", "family" : "Jeunemaitre", "given" : "Xavier", "non-dropping-particle" : "", "parse-names" : false, "suffix" : "" }, { "dropping-particle" : "", "family" : "Gimenez-Roqueplo", "given" : "Anne-Paule", "non-dropping-particle" : "", "parse-names" : false, "suffix" : "" } ], "container-title" : "The Journal of clinical endocrinology and metabolism", "id" : "ITEM-1", "issue" : "8", "issued" : { "date-parts" : [ [ "2009", "8" ] ] }, "page" : "2817-27", "title" : "The succinate dehydrogenase genetic testing in a large prospective series of patients with paragangliomas.", "type" : "article-journal", "volume" : "94" }, "uris" : [ "http://www.mendeley.com/documents/?uuid=ab147bbe-9f09-4fc1-b548-a19e3c24f43b" ] } ], "mendeley" : { "formattedCitation" : "[18]", "plainTextFormattedCitation" : "[18]", "previouslyFormattedCitation" : "&lt;sup&gt;18&lt;/sup&gt;" }, "properties" : {  }, "schema" : "https://github.com/citation-style-language/schema/raw/master/csl-citation.json" }</w:instrText>
            </w:r>
            <w:r w:rsidR="005D6D2F">
              <w:rPr>
                <w:rFonts w:ascii="Calibri" w:hAnsi="Calibri"/>
                <w:color w:val="000000"/>
              </w:rPr>
              <w:fldChar w:fldCharType="separate"/>
            </w:r>
            <w:r w:rsidR="004B6A5D" w:rsidRPr="004B6A5D">
              <w:rPr>
                <w:rFonts w:ascii="Calibri" w:hAnsi="Calibri"/>
                <w:b w:val="0"/>
                <w:noProof/>
                <w:color w:val="000000"/>
              </w:rPr>
              <w:t>[18]</w:t>
            </w:r>
            <w:r w:rsidR="005D6D2F">
              <w:rPr>
                <w:rFonts w:ascii="Calibri" w:hAnsi="Calibri"/>
                <w:color w:val="000000"/>
              </w:rPr>
              <w:fldChar w:fldCharType="end"/>
            </w:r>
          </w:p>
        </w:tc>
        <w:tc>
          <w:tcPr>
            <w:tcW w:w="622" w:type="dxa"/>
            <w:noWrap/>
            <w:hideMark/>
          </w:tcPr>
          <w:p w14:paraId="7B0AB9A5"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96</w:t>
            </w:r>
          </w:p>
        </w:tc>
        <w:tc>
          <w:tcPr>
            <w:tcW w:w="622" w:type="dxa"/>
            <w:noWrap/>
            <w:hideMark/>
          </w:tcPr>
          <w:p w14:paraId="6580F968"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81</w:t>
            </w:r>
          </w:p>
        </w:tc>
        <w:tc>
          <w:tcPr>
            <w:tcW w:w="672" w:type="dxa"/>
            <w:noWrap/>
            <w:hideMark/>
          </w:tcPr>
          <w:p w14:paraId="1FECFE66"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4.9</w:t>
            </w:r>
          </w:p>
        </w:tc>
        <w:tc>
          <w:tcPr>
            <w:tcW w:w="521" w:type="dxa"/>
            <w:noWrap/>
            <w:hideMark/>
          </w:tcPr>
          <w:p w14:paraId="61E84CF2"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16</w:t>
            </w:r>
          </w:p>
        </w:tc>
        <w:tc>
          <w:tcPr>
            <w:tcW w:w="521" w:type="dxa"/>
            <w:noWrap/>
            <w:hideMark/>
          </w:tcPr>
          <w:p w14:paraId="27DCBB1B"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14</w:t>
            </w:r>
          </w:p>
        </w:tc>
        <w:tc>
          <w:tcPr>
            <w:tcW w:w="672" w:type="dxa"/>
            <w:noWrap/>
            <w:hideMark/>
          </w:tcPr>
          <w:p w14:paraId="5A02B075"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14.0</w:t>
            </w:r>
          </w:p>
        </w:tc>
        <w:tc>
          <w:tcPr>
            <w:tcW w:w="622" w:type="dxa"/>
            <w:noWrap/>
            <w:hideMark/>
          </w:tcPr>
          <w:p w14:paraId="34385471"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130</w:t>
            </w:r>
          </w:p>
        </w:tc>
        <w:tc>
          <w:tcPr>
            <w:tcW w:w="622" w:type="dxa"/>
            <w:noWrap/>
            <w:hideMark/>
          </w:tcPr>
          <w:p w14:paraId="700C4804"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82</w:t>
            </w:r>
          </w:p>
        </w:tc>
        <w:tc>
          <w:tcPr>
            <w:tcW w:w="640" w:type="dxa"/>
            <w:noWrap/>
            <w:hideMark/>
          </w:tcPr>
          <w:p w14:paraId="2233C0E9"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2.4</w:t>
            </w:r>
          </w:p>
        </w:tc>
        <w:tc>
          <w:tcPr>
            <w:tcW w:w="2000" w:type="dxa"/>
            <w:noWrap/>
            <w:hideMark/>
          </w:tcPr>
          <w:p w14:paraId="367C5D12"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 xml:space="preserve"> - </w:t>
            </w:r>
          </w:p>
        </w:tc>
        <w:tc>
          <w:tcPr>
            <w:tcW w:w="1487" w:type="dxa"/>
            <w:noWrap/>
            <w:hideMark/>
          </w:tcPr>
          <w:p w14:paraId="5C0B5EBE"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 xml:space="preserve"> - </w:t>
            </w:r>
          </w:p>
        </w:tc>
        <w:tc>
          <w:tcPr>
            <w:tcW w:w="5005" w:type="dxa"/>
            <w:noWrap/>
            <w:hideMark/>
          </w:tcPr>
          <w:p w14:paraId="3B3E8BBF" w14:textId="5EFB45BC" w:rsidR="00750489" w:rsidRPr="00750489" w:rsidRDefault="0002402C"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 -</w:t>
            </w:r>
          </w:p>
        </w:tc>
      </w:tr>
      <w:tr w:rsidR="005D6D2F" w:rsidRPr="00750489" w14:paraId="064F8FF9" w14:textId="77777777" w:rsidTr="000240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8" w:type="dxa"/>
            <w:noWrap/>
            <w:hideMark/>
          </w:tcPr>
          <w:p w14:paraId="044FD7D8" w14:textId="404576BF" w:rsidR="00750489" w:rsidRPr="00750489" w:rsidRDefault="00750489" w:rsidP="005D6D2F">
            <w:pPr>
              <w:widowControl/>
              <w:suppressAutoHyphens w:val="0"/>
              <w:rPr>
                <w:rFonts w:ascii="Calibri" w:hAnsi="Calibri"/>
                <w:color w:val="000000"/>
              </w:rPr>
            </w:pPr>
            <w:r w:rsidRPr="00750489">
              <w:rPr>
                <w:rFonts w:ascii="Calibri" w:hAnsi="Calibri"/>
                <w:color w:val="000000"/>
              </w:rPr>
              <w:t>Solis et al. 2009</w:t>
            </w:r>
            <w:r w:rsidR="005D6D2F">
              <w:rPr>
                <w:rFonts w:ascii="Calibri" w:hAnsi="Calibri"/>
                <w:color w:val="000000"/>
              </w:rPr>
              <w:fldChar w:fldCharType="begin" w:fldLock="1"/>
            </w:r>
            <w:r w:rsidR="004B6A5D">
              <w:rPr>
                <w:rFonts w:ascii="Calibri" w:hAnsi="Calibri"/>
                <w:color w:val="000000"/>
              </w:rPr>
              <w:instrText>ADDIN CSL_CITATION { "citationItems" : [ { "id" : "ITEM-1", "itemData" : { "DOI" : "10.1111/j.1399-0004.2009.01157.x", "ISSN" : "1399-0004", "PMID" : "19389109", "abstract" : "Mutations in the gene encoding subunit B of the mitochondrial enzyme succinate dehydrogenase (SDHB) are inherited in an autosomal dominant manner and are associated with hereditary paraganglioma (PGL) and pheochromocytoma. The phenotype of patients with SDHB point mutations has been previously described. However, the phenotype and penetrance of gross SDHB deletions have not been well characterized as they are rarely described. The objective was to describe the phenotype and estimate the penetrance of an exon 1 large SDHB deletion in one kindred. A retrospective and prospective study of 41 relatives across five generations was carried out. The main outcome measures were genetic testing, clinical presentations, plasma catecholamines and their O-methylated metabolites. Of the 41 mutation carriers identified, 11 were diagnosed with PGL, 12 were found to be healthy carriers after evaluation, and 18 were reportedly healthy based on family history accounts. The penetrance of PGL related to the exon 1 large SDHB deletion in this family was estimated to be 35% by age 40. Variable expressivity of the phenotype associated with a large exon 1 SDHB deletion was observed, including low penetrance, diverse primary PGL tumor locations, and malignant potential.", "author" : [ { "dropping-particle" : "", "family" : "Solis", "given" : "D C", "non-dropping-particle" : "", "parse-names" : false, "suffix" : "" }, { "dropping-particle" : "", "family" : "Burnichon", "given" : "N", "non-dropping-particle" : "", "parse-names" : false, "suffix" : "" }, { "dropping-particle" : "", "family" : "Timmers", "given" : "H J L M", "non-dropping-particle" : "", "parse-names" : false, "suffix" : "" }, { "dropping-particle" : "", "family" : "Raygada", "given" : "M J", "non-dropping-particle" : "", "parse-names" : false, "suffix" : "" }, { "dropping-particle" : "", "family" : "Kozupa", "given" : "a", "non-dropping-particle" : "", "parse-names" : false, "suffix" : "" }, { "dropping-particle" : "", "family" : "Merino", "given" : "M J", "non-dropping-particle" : "", "parse-names" : false, "suffix" : "" }, { "dropping-particle" : "", "family" : "Makey", "given" : "D", "non-dropping-particle" : "", "parse-names" : false, "suffix" : "" }, { "dropping-particle" : "", "family" : "Adams", "given" : "K T", "non-dropping-particle" : "", "parse-names" : false, "suffix" : "" }, { "dropping-particle" : "", "family" : "Venisse", "given" : "a", "non-dropping-particle" : "", "parse-names" : false, "suffix" : "" }, { "dropping-particle" : "", "family" : "Gimenez-Roqueplo", "given" : "a-P", "non-dropping-particle" : "", "parse-names" : false, "suffix" : "" }, { "dropping-particle" : "", "family" : "Pacak", "given" : "K", "non-dropping-particle" : "", "parse-names" : false, "suffix" : "" } ], "container-title" : "Clinical genetics", "id" : "ITEM-1", "issue" : "4", "issued" : { "date-parts" : [ [ "2009", "4" ] ] }, "page" : "354-63", "title" : "Penetrance and clinical consequences of a gross SDHB deletion in a large family.", "type" : "article-journal", "volume" : "75" }, "uris" : [ "http://www.mendeley.com/documents/?uuid=726f1691-2283-4b69-9a21-0513681edb5f" ] } ], "mendeley" : { "formattedCitation" : "[19]", "plainTextFormattedCitation" : "[19]", "previouslyFormattedCitation" : "&lt;sup&gt;19&lt;/sup&gt;" }, "properties" : {  }, "schema" : "https://github.com/citation-style-language/schema/raw/master/csl-citation.json" }</w:instrText>
            </w:r>
            <w:r w:rsidR="005D6D2F">
              <w:rPr>
                <w:rFonts w:ascii="Calibri" w:hAnsi="Calibri"/>
                <w:color w:val="000000"/>
              </w:rPr>
              <w:fldChar w:fldCharType="separate"/>
            </w:r>
            <w:r w:rsidR="004B6A5D" w:rsidRPr="004B6A5D">
              <w:rPr>
                <w:rFonts w:ascii="Calibri" w:hAnsi="Calibri"/>
                <w:b w:val="0"/>
                <w:noProof/>
                <w:color w:val="000000"/>
              </w:rPr>
              <w:t>[19]</w:t>
            </w:r>
            <w:r w:rsidR="005D6D2F">
              <w:rPr>
                <w:rFonts w:ascii="Calibri" w:hAnsi="Calibri"/>
                <w:color w:val="000000"/>
              </w:rPr>
              <w:fldChar w:fldCharType="end"/>
            </w:r>
          </w:p>
        </w:tc>
        <w:tc>
          <w:tcPr>
            <w:tcW w:w="622" w:type="dxa"/>
            <w:noWrap/>
            <w:hideMark/>
          </w:tcPr>
          <w:p w14:paraId="06183304"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41</w:t>
            </w:r>
          </w:p>
        </w:tc>
        <w:tc>
          <w:tcPr>
            <w:tcW w:w="622" w:type="dxa"/>
            <w:noWrap/>
            <w:hideMark/>
          </w:tcPr>
          <w:p w14:paraId="6969E71C"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1</w:t>
            </w:r>
          </w:p>
        </w:tc>
        <w:tc>
          <w:tcPr>
            <w:tcW w:w="672" w:type="dxa"/>
            <w:noWrap/>
            <w:hideMark/>
          </w:tcPr>
          <w:p w14:paraId="1ED40207"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N/A</w:t>
            </w:r>
          </w:p>
        </w:tc>
        <w:tc>
          <w:tcPr>
            <w:tcW w:w="521" w:type="dxa"/>
            <w:noWrap/>
            <w:hideMark/>
          </w:tcPr>
          <w:p w14:paraId="465E8CC0"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521" w:type="dxa"/>
            <w:noWrap/>
            <w:hideMark/>
          </w:tcPr>
          <w:p w14:paraId="344A8328"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672" w:type="dxa"/>
            <w:noWrap/>
            <w:hideMark/>
          </w:tcPr>
          <w:p w14:paraId="29967478"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N/A</w:t>
            </w:r>
          </w:p>
        </w:tc>
        <w:tc>
          <w:tcPr>
            <w:tcW w:w="622" w:type="dxa"/>
            <w:noWrap/>
            <w:hideMark/>
          </w:tcPr>
          <w:p w14:paraId="0BFED865"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622" w:type="dxa"/>
            <w:noWrap/>
            <w:hideMark/>
          </w:tcPr>
          <w:p w14:paraId="4AC04207"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640" w:type="dxa"/>
            <w:noWrap/>
            <w:hideMark/>
          </w:tcPr>
          <w:p w14:paraId="4CB1EE3E"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N/A</w:t>
            </w:r>
          </w:p>
        </w:tc>
        <w:tc>
          <w:tcPr>
            <w:tcW w:w="2000" w:type="dxa"/>
            <w:noWrap/>
            <w:hideMark/>
          </w:tcPr>
          <w:p w14:paraId="610DA959"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35% by age 40</w:t>
            </w:r>
          </w:p>
        </w:tc>
        <w:tc>
          <w:tcPr>
            <w:tcW w:w="1487" w:type="dxa"/>
            <w:noWrap/>
            <w:hideMark/>
          </w:tcPr>
          <w:p w14:paraId="64269997"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5005" w:type="dxa"/>
            <w:noWrap/>
            <w:hideMark/>
          </w:tcPr>
          <w:p w14:paraId="37DF2307"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 xml:space="preserve">Kaplan Meier analysis of one large </w:t>
            </w:r>
            <w:r w:rsidRPr="00750489">
              <w:rPr>
                <w:rFonts w:ascii="Calibri" w:hAnsi="Calibri"/>
                <w:i/>
                <w:iCs/>
                <w:color w:val="000000"/>
              </w:rPr>
              <w:t>SDHB</w:t>
            </w:r>
            <w:r w:rsidRPr="00750489">
              <w:rPr>
                <w:rFonts w:ascii="Calibri" w:hAnsi="Calibri"/>
                <w:color w:val="000000"/>
              </w:rPr>
              <w:t xml:space="preserve"> exon 1 deletion family </w:t>
            </w:r>
          </w:p>
        </w:tc>
      </w:tr>
      <w:tr w:rsidR="005D6D2F" w:rsidRPr="00750489" w14:paraId="0BFF1452" w14:textId="77777777" w:rsidTr="0002402C">
        <w:trPr>
          <w:trHeight w:val="300"/>
        </w:trPr>
        <w:tc>
          <w:tcPr>
            <w:cnfStyle w:val="001000000000" w:firstRow="0" w:lastRow="0" w:firstColumn="1" w:lastColumn="0" w:oddVBand="0" w:evenVBand="0" w:oddHBand="0" w:evenHBand="0" w:firstRowFirstColumn="0" w:firstRowLastColumn="0" w:lastRowFirstColumn="0" w:lastRowLastColumn="0"/>
            <w:tcW w:w="2478" w:type="dxa"/>
            <w:noWrap/>
            <w:hideMark/>
          </w:tcPr>
          <w:p w14:paraId="3553016C" w14:textId="52E0BDFA" w:rsidR="00750489" w:rsidRPr="00750489" w:rsidRDefault="00750489" w:rsidP="005D6D2F">
            <w:pPr>
              <w:widowControl/>
              <w:suppressAutoHyphens w:val="0"/>
              <w:rPr>
                <w:rFonts w:ascii="Calibri" w:hAnsi="Calibri"/>
                <w:color w:val="000000"/>
              </w:rPr>
            </w:pPr>
            <w:proofErr w:type="spellStart"/>
            <w:r w:rsidRPr="00750489">
              <w:rPr>
                <w:rFonts w:ascii="Calibri" w:hAnsi="Calibri"/>
                <w:color w:val="000000"/>
              </w:rPr>
              <w:t>Schiavi</w:t>
            </w:r>
            <w:proofErr w:type="spellEnd"/>
            <w:r w:rsidRPr="00750489">
              <w:rPr>
                <w:rFonts w:ascii="Calibri" w:hAnsi="Calibri"/>
                <w:color w:val="000000"/>
              </w:rPr>
              <w:t xml:space="preserve"> et al. 2010</w:t>
            </w:r>
            <w:r w:rsidR="005D6D2F">
              <w:rPr>
                <w:rFonts w:ascii="Calibri" w:hAnsi="Calibri"/>
                <w:color w:val="000000"/>
              </w:rPr>
              <w:fldChar w:fldCharType="begin" w:fldLock="1"/>
            </w:r>
            <w:r w:rsidR="004B6A5D">
              <w:rPr>
                <w:rFonts w:ascii="Calibri" w:hAnsi="Calibri"/>
                <w:color w:val="000000"/>
              </w:rPr>
              <w:instrText>ADDIN CSL_CITATION { "citationItems" : [ { "id" : "ITEM-1", "itemData" : { "DOI" : "10.1002/humu.21269", "ISSN" : "1098-1004", "PMID" : "20513144", "author" : [ { "dropping-particle" : "", "family" : "Schiavi", "given" : "Francesca", "non-dropping-particle" : "", "parse-names" : false, "suffix" : "" }, { "dropping-particle" : "", "family" : "Milne", "given" : "Roger L", "non-dropping-particle" : "", "parse-names" : false, "suffix" : "" }, { "dropping-particle" : "", "family" : "Anda", "given" : "Emma", "non-dropping-particle" : "", "parse-names" : false, "suffix" : "" }, { "dropping-particle" : "", "family" : "Blay", "given" : "Pilar", "non-dropping-particle" : "", "parse-names" : false, "suffix" : "" }, { "dropping-particle" : "", "family" : "Castellano", "given" : "Maurizio", "non-dropping-particle" : "", "parse-names" : false, "suffix" : "" }, { "dropping-particle" : "", "family" : "Opocher", "given" : "Giuseppe", "non-dropping-particle" : "", "parse-names" : false, "suffix" : "" }, { "dropping-particle" : "", "family" : "Robledo", "given" : "Mercedes", "non-dropping-particle" : "", "parse-names" : false, "suffix" : "" }, { "dropping-particle" : "", "family" : "Casc\u00f3n", "given" : "Alberto", "non-dropping-particle" : "", "parse-names" : false, "suffix" : "" } ], "container-title" : "Human mutation", "id" : "ITEM-1", "issue" : "6", "issued" : { "date-parts" : [ [ "2010", "6" ] ] }, "page" : "761-2", "title" : "Are we overestimating the penetrance of mutations in SDHB?", "type" : "article-journal", "volume" : "31" }, "uris" : [ "http://www.mendeley.com/documents/?uuid=319614e5-6cfe-4071-bf41-240b973b223a" ] } ], "mendeley" : { "formattedCitation" : "[20]", "plainTextFormattedCitation" : "[20]", "previouslyFormattedCitation" : "&lt;sup&gt;20&lt;/sup&gt;" }, "properties" : {  }, "schema" : "https://github.com/citation-style-language/schema/raw/master/csl-citation.json" }</w:instrText>
            </w:r>
            <w:r w:rsidR="005D6D2F">
              <w:rPr>
                <w:rFonts w:ascii="Calibri" w:hAnsi="Calibri"/>
                <w:color w:val="000000"/>
              </w:rPr>
              <w:fldChar w:fldCharType="separate"/>
            </w:r>
            <w:r w:rsidR="004B6A5D" w:rsidRPr="004B6A5D">
              <w:rPr>
                <w:rFonts w:ascii="Calibri" w:hAnsi="Calibri"/>
                <w:b w:val="0"/>
                <w:noProof/>
                <w:color w:val="000000"/>
              </w:rPr>
              <w:t>[20]</w:t>
            </w:r>
            <w:r w:rsidR="005D6D2F">
              <w:rPr>
                <w:rFonts w:ascii="Calibri" w:hAnsi="Calibri"/>
                <w:color w:val="000000"/>
              </w:rPr>
              <w:fldChar w:fldCharType="end"/>
            </w:r>
          </w:p>
        </w:tc>
        <w:tc>
          <w:tcPr>
            <w:tcW w:w="622" w:type="dxa"/>
            <w:noWrap/>
            <w:hideMark/>
          </w:tcPr>
          <w:p w14:paraId="4C6A6E64"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135</w:t>
            </w:r>
          </w:p>
        </w:tc>
        <w:tc>
          <w:tcPr>
            <w:tcW w:w="622" w:type="dxa"/>
            <w:noWrap/>
            <w:hideMark/>
          </w:tcPr>
          <w:p w14:paraId="2A19CA38" w14:textId="70A62D7D" w:rsidR="00750489" w:rsidRPr="00750489" w:rsidRDefault="005D6D2F"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 -</w:t>
            </w:r>
          </w:p>
        </w:tc>
        <w:tc>
          <w:tcPr>
            <w:tcW w:w="672" w:type="dxa"/>
            <w:noWrap/>
            <w:hideMark/>
          </w:tcPr>
          <w:p w14:paraId="3A6FA2A8" w14:textId="5D25DF20" w:rsidR="00750489" w:rsidRPr="00750489" w:rsidRDefault="005D6D2F"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 -</w:t>
            </w:r>
          </w:p>
        </w:tc>
        <w:tc>
          <w:tcPr>
            <w:tcW w:w="521" w:type="dxa"/>
            <w:noWrap/>
            <w:hideMark/>
          </w:tcPr>
          <w:p w14:paraId="67BFD87A"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521" w:type="dxa"/>
            <w:noWrap/>
            <w:hideMark/>
          </w:tcPr>
          <w:p w14:paraId="45E0AB2B"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672" w:type="dxa"/>
            <w:noWrap/>
            <w:hideMark/>
          </w:tcPr>
          <w:p w14:paraId="57136B35"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N/A</w:t>
            </w:r>
          </w:p>
        </w:tc>
        <w:tc>
          <w:tcPr>
            <w:tcW w:w="622" w:type="dxa"/>
            <w:noWrap/>
            <w:hideMark/>
          </w:tcPr>
          <w:p w14:paraId="1F04C140"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622" w:type="dxa"/>
            <w:noWrap/>
            <w:hideMark/>
          </w:tcPr>
          <w:p w14:paraId="1476646F"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640" w:type="dxa"/>
            <w:noWrap/>
            <w:hideMark/>
          </w:tcPr>
          <w:p w14:paraId="1CF7A1EF"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N/A</w:t>
            </w:r>
          </w:p>
        </w:tc>
        <w:tc>
          <w:tcPr>
            <w:tcW w:w="2000" w:type="dxa"/>
            <w:noWrap/>
            <w:hideMark/>
          </w:tcPr>
          <w:p w14:paraId="630C1CB9"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13% by age 50</w:t>
            </w:r>
          </w:p>
        </w:tc>
        <w:tc>
          <w:tcPr>
            <w:tcW w:w="1487" w:type="dxa"/>
            <w:noWrap/>
            <w:hideMark/>
          </w:tcPr>
          <w:p w14:paraId="62B6C94F"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 xml:space="preserve"> - </w:t>
            </w:r>
          </w:p>
        </w:tc>
        <w:tc>
          <w:tcPr>
            <w:tcW w:w="5005" w:type="dxa"/>
            <w:noWrap/>
            <w:hideMark/>
          </w:tcPr>
          <w:p w14:paraId="1955CF51"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Modified segregation analysis</w:t>
            </w:r>
          </w:p>
        </w:tc>
      </w:tr>
      <w:tr w:rsidR="005D6D2F" w:rsidRPr="00750489" w14:paraId="12B3F654" w14:textId="77777777" w:rsidTr="000240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8" w:type="dxa"/>
            <w:noWrap/>
            <w:hideMark/>
          </w:tcPr>
          <w:p w14:paraId="53BB429D" w14:textId="2A8513B6" w:rsidR="00750489" w:rsidRPr="00750489" w:rsidRDefault="00750489" w:rsidP="0002402C">
            <w:pPr>
              <w:widowControl/>
              <w:suppressAutoHyphens w:val="0"/>
              <w:rPr>
                <w:rFonts w:ascii="Calibri" w:hAnsi="Calibri"/>
                <w:color w:val="000000"/>
              </w:rPr>
            </w:pPr>
            <w:r w:rsidRPr="00750489">
              <w:rPr>
                <w:rFonts w:ascii="Calibri" w:hAnsi="Calibri"/>
                <w:color w:val="000000"/>
              </w:rPr>
              <w:t>Buffet</w:t>
            </w:r>
            <w:r w:rsidR="0002402C">
              <w:rPr>
                <w:rFonts w:ascii="Calibri" w:hAnsi="Calibri"/>
                <w:color w:val="000000"/>
              </w:rPr>
              <w:t>t</w:t>
            </w:r>
            <w:r w:rsidRPr="00750489">
              <w:rPr>
                <w:rFonts w:ascii="Calibri" w:hAnsi="Calibri"/>
                <w:color w:val="000000"/>
              </w:rPr>
              <w:t xml:space="preserve"> et al. 2012</w:t>
            </w:r>
            <w:r w:rsidR="0002402C">
              <w:rPr>
                <w:rFonts w:ascii="Calibri" w:hAnsi="Calibri"/>
                <w:color w:val="000000"/>
              </w:rPr>
              <w:fldChar w:fldCharType="begin" w:fldLock="1"/>
            </w:r>
            <w:r w:rsidR="004B6A5D">
              <w:rPr>
                <w:rFonts w:ascii="Calibri" w:hAnsi="Calibri"/>
                <w:color w:val="000000"/>
              </w:rPr>
              <w:instrText>ADDIN CSL_CITATION { "citationItems" : [ { "id" : "ITEM-1", "itemData" : { "author" : [ { "dropping-particle" : "", "family" : "Venisse", "given" : "A", "non-dropping-particle" : "", "parse-names" : false, "suffix" : "" }, { "dropping-particle" : "", "family" : "Nau", "given" : "V", "non-dropping-particle" : "", "parse-names" : false, "suffix" : "" }, { "dropping-particle" : "", "family" : "Roncellin", "given" : "I", "non-dropping-particle" : "", "parse-names" : false, "suffix" : "" }, { "dropping-particle" : "", "family" : "Boccio", "given" : "V", "non-dropping-particle" : "", "parse-names" : false, "suffix" : "" }, { "dropping-particle" : "Le", "family" : "Pottier", "given" : "N", "non-dropping-particle" : "", "parse-names" : false, "suffix" : "" }, { "dropping-particle" : "", "family" : "Boussion", "given" : "M", "non-dropping-particle" : "", "parse-names" : false, "suffix" : "" }, { "dropping-particle" : "", "family" : "Travers", "given" : "C", "non-dropping-particle" : "", "parse-names" : false, "suffix" : "" }, { "dropping-particle" : "", "family" : "Simian", "given" : "C", "non-dropping-particle" : "", "parse-names" : false, "suffix" : "" }, { "dropping-particle" : "", "family" : "Burnichon", "given" : "N", "non-dropping-particle" : "", "parse-names" : false, "suffix" : "" }, { "dropping-particle" : "", "family" : "Abermil", "given" : "N", "non-dropping-particle" : "", "parse-names" : false, "suffix" : "" }, { "dropping-particle" : "", "family" : "Favier", "given" : "J", "non-dropping-particle" : "", "parse-names" : false, "suffix" : "" }, { "dropping-particle" : "", "family" : "Jeunemaitre", "given" : "X", "non-dropping-particle" : "", "parse-names" : false, "suffix" : "" }, { "dropping-particle" : "", "family" : "Cardiovascular", "given" : "Paris", "non-dropping-particle" : "", "parse-names" : false, "suffix" : "" } ], "id" : "ITEM-1", "issued" : { "date-parts" : [ [ "2012" ] ] }, "page" : "359-366", "title" : "A Decade ( 2001 \u2013 2010 ) of Genetic Testing for Pheochromocytoma and Paraganglioma", "type" : "article-journal" }, "uris" : [ "http://www.mendeley.com/documents/?uuid=9329799b-706b-4d51-8f37-7245ff95f46a" ] } ], "mendeley" : { "formattedCitation" : "[21]", "plainTextFormattedCitation" : "[21]", "previouslyFormattedCitation" : "&lt;sup&gt;21&lt;/sup&gt;" }, "properties" : {  }, "schema" : "https://github.com/citation-style-language/schema/raw/master/csl-citation.json" }</w:instrText>
            </w:r>
            <w:r w:rsidR="0002402C">
              <w:rPr>
                <w:rFonts w:ascii="Calibri" w:hAnsi="Calibri"/>
                <w:color w:val="000000"/>
              </w:rPr>
              <w:fldChar w:fldCharType="separate"/>
            </w:r>
            <w:r w:rsidR="004B6A5D" w:rsidRPr="004B6A5D">
              <w:rPr>
                <w:rFonts w:ascii="Calibri" w:hAnsi="Calibri"/>
                <w:b w:val="0"/>
                <w:noProof/>
                <w:color w:val="000000"/>
              </w:rPr>
              <w:t>[21]</w:t>
            </w:r>
            <w:r w:rsidR="0002402C">
              <w:rPr>
                <w:rFonts w:ascii="Calibri" w:hAnsi="Calibri"/>
                <w:color w:val="000000"/>
              </w:rPr>
              <w:fldChar w:fldCharType="end"/>
            </w:r>
          </w:p>
        </w:tc>
        <w:tc>
          <w:tcPr>
            <w:tcW w:w="622" w:type="dxa"/>
            <w:noWrap/>
            <w:hideMark/>
          </w:tcPr>
          <w:p w14:paraId="51F75D0C" w14:textId="16B90CA2" w:rsidR="00750489" w:rsidRPr="00750489" w:rsidRDefault="005D6D2F"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 -</w:t>
            </w:r>
          </w:p>
        </w:tc>
        <w:tc>
          <w:tcPr>
            <w:tcW w:w="622" w:type="dxa"/>
            <w:noWrap/>
            <w:hideMark/>
          </w:tcPr>
          <w:p w14:paraId="19B9714D"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137</w:t>
            </w:r>
          </w:p>
        </w:tc>
        <w:tc>
          <w:tcPr>
            <w:tcW w:w="672" w:type="dxa"/>
            <w:noWrap/>
            <w:hideMark/>
          </w:tcPr>
          <w:p w14:paraId="7A3C4593"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13.0</w:t>
            </w:r>
          </w:p>
        </w:tc>
        <w:tc>
          <w:tcPr>
            <w:tcW w:w="521" w:type="dxa"/>
            <w:noWrap/>
            <w:hideMark/>
          </w:tcPr>
          <w:p w14:paraId="754617DA" w14:textId="4859D0F9" w:rsidR="00750489" w:rsidRPr="00750489" w:rsidRDefault="005D6D2F"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 -</w:t>
            </w:r>
          </w:p>
        </w:tc>
        <w:tc>
          <w:tcPr>
            <w:tcW w:w="521" w:type="dxa"/>
            <w:noWrap/>
            <w:hideMark/>
          </w:tcPr>
          <w:p w14:paraId="1D0E055A"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30</w:t>
            </w:r>
          </w:p>
        </w:tc>
        <w:tc>
          <w:tcPr>
            <w:tcW w:w="672" w:type="dxa"/>
            <w:noWrap/>
            <w:hideMark/>
          </w:tcPr>
          <w:p w14:paraId="3DF00A9D"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17.0</w:t>
            </w:r>
          </w:p>
        </w:tc>
        <w:tc>
          <w:tcPr>
            <w:tcW w:w="622" w:type="dxa"/>
            <w:noWrap/>
            <w:hideMark/>
          </w:tcPr>
          <w:p w14:paraId="3CD3F65D" w14:textId="4633495B" w:rsidR="00750489" w:rsidRPr="00750489" w:rsidRDefault="005D6D2F"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 -</w:t>
            </w:r>
          </w:p>
        </w:tc>
        <w:tc>
          <w:tcPr>
            <w:tcW w:w="622" w:type="dxa"/>
            <w:noWrap/>
            <w:hideMark/>
          </w:tcPr>
          <w:p w14:paraId="2A9F12A5"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100</w:t>
            </w:r>
          </w:p>
        </w:tc>
        <w:tc>
          <w:tcPr>
            <w:tcW w:w="640" w:type="dxa"/>
            <w:noWrap/>
            <w:hideMark/>
          </w:tcPr>
          <w:p w14:paraId="339B1B02"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5.0</w:t>
            </w:r>
          </w:p>
        </w:tc>
        <w:tc>
          <w:tcPr>
            <w:tcW w:w="2000" w:type="dxa"/>
            <w:noWrap/>
            <w:hideMark/>
          </w:tcPr>
          <w:p w14:paraId="6067F81D"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 xml:space="preserve"> - </w:t>
            </w:r>
          </w:p>
        </w:tc>
        <w:tc>
          <w:tcPr>
            <w:tcW w:w="1487" w:type="dxa"/>
            <w:noWrap/>
            <w:hideMark/>
          </w:tcPr>
          <w:p w14:paraId="0FA648F4"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 xml:space="preserve"> - </w:t>
            </w:r>
          </w:p>
        </w:tc>
        <w:tc>
          <w:tcPr>
            <w:tcW w:w="5005" w:type="dxa"/>
            <w:noWrap/>
            <w:hideMark/>
          </w:tcPr>
          <w:p w14:paraId="79497900" w14:textId="68AF2585" w:rsidR="00750489" w:rsidRPr="00750489" w:rsidRDefault="0002402C"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 -</w:t>
            </w:r>
          </w:p>
        </w:tc>
      </w:tr>
      <w:tr w:rsidR="005D6D2F" w:rsidRPr="00750489" w14:paraId="2139D4EC" w14:textId="77777777" w:rsidTr="0002402C">
        <w:trPr>
          <w:trHeight w:val="300"/>
        </w:trPr>
        <w:tc>
          <w:tcPr>
            <w:cnfStyle w:val="001000000000" w:firstRow="0" w:lastRow="0" w:firstColumn="1" w:lastColumn="0" w:oddVBand="0" w:evenVBand="0" w:oddHBand="0" w:evenHBand="0" w:firstRowFirstColumn="0" w:firstRowLastColumn="0" w:lastRowFirstColumn="0" w:lastRowLastColumn="0"/>
            <w:tcW w:w="2478" w:type="dxa"/>
            <w:noWrap/>
            <w:hideMark/>
          </w:tcPr>
          <w:p w14:paraId="1CFDBBC6" w14:textId="291C5B11" w:rsidR="00750489" w:rsidRPr="00750489" w:rsidRDefault="00750489" w:rsidP="0002402C">
            <w:pPr>
              <w:widowControl/>
              <w:suppressAutoHyphens w:val="0"/>
              <w:rPr>
                <w:rFonts w:ascii="Calibri" w:hAnsi="Calibri"/>
                <w:color w:val="000000"/>
              </w:rPr>
            </w:pPr>
            <w:proofErr w:type="spellStart"/>
            <w:r w:rsidRPr="00750489">
              <w:rPr>
                <w:rFonts w:ascii="Calibri" w:hAnsi="Calibri"/>
                <w:color w:val="000000"/>
              </w:rPr>
              <w:t>Hensen</w:t>
            </w:r>
            <w:proofErr w:type="spellEnd"/>
            <w:r w:rsidRPr="00750489">
              <w:rPr>
                <w:rFonts w:ascii="Calibri" w:hAnsi="Calibri"/>
                <w:color w:val="000000"/>
              </w:rPr>
              <w:t xml:space="preserve"> et al. 2012</w:t>
            </w:r>
            <w:r w:rsidR="0002402C">
              <w:rPr>
                <w:rFonts w:ascii="Calibri" w:hAnsi="Calibri"/>
                <w:color w:val="000000"/>
              </w:rPr>
              <w:fldChar w:fldCharType="begin" w:fldLock="1"/>
            </w:r>
            <w:r w:rsidR="004B6A5D">
              <w:rPr>
                <w:rFonts w:ascii="Calibri" w:hAnsi="Calibri"/>
                <w:color w:val="000000"/>
              </w:rPr>
              <w:instrText>ADDIN CSL_CITATION { "citationItems" : [ { "id" : "ITEM-1", "itemData" : { "DOI" : "10.1111/j.1399-0004.2011.01653.x", "ISSN" : "1399-0004", "PMID" : "21348866", "abstract" : "Mutations in four genes encoding subunits or cofactors of succinate dehydrogenase (SDH) cause hereditary paraganglioma and pheochromocytoma syndromes. Mutations in SDHB and SDHD are generally the most common, whereas mutations in SDHC and SDHAF2 are far less frequently observed. A total of 1045 DNA samples from Dutch paraganglioma and pheochromocytoma patients and their relatives were analyzed for mutations of SDHB, SDHC, SDHD or SDHAF2. Mutations in these genes were identified in 690 cases, 239 of which were index cases. The vast majority of mutation carriers had a mutation in SDHD (87.1%). The second most commonly affected gene was SDHAF2 (6.7%). Mutations in SDHB were found in only 5.9% of samples, whereas SDHC mutations were found in 0.3% of samples. Remarkably, 69.1% of all carriers of a mutation in an SDH gene in the Netherlands can be attributed to a single founder mutation in SDHD, c.274G&gt;T and p.Asp92Tyr. Moreover, 88.8% of all SDH mutation carriers carry one of just six Dutch founder mutations in SDHB, SDHD and SDHAF2. The dominance of SDHD mutations is unique to the Netherlands, contrasting with the higher prevalence of SDHB mutations found elsewhere. In addition, we found that most SDH mutation-related paragangliomas-pheochromocytomas in the Netherlands can be explained by only six founder mutations in SDHAF2, SDHB and SDHD. The findings underline the regional differences in the SDH mutation spectrum, differences that should be taken into account in the development of effective screening protocols. The results show the crucial role that demographic factors play in the frequency of gene mutations.", "author" : [ { "dropping-particle" : "", "family" : "Hensen", "given" : "E F", "non-dropping-particle" : "", "parse-names" : false, "suffix" : "" }, { "dropping-particle" : "", "family" : "Duinen", "given" : "N", "non-dropping-particle" : "van", "parse-names" : false, "suffix" : "" }, { "dropping-particle" : "", "family" : "Jansen", "given" : "J C", "non-dropping-particle" : "", "parse-names" : false, "suffix" : "" }, { "dropping-particle" : "", "family" : "Corssmit", "given" : "E P M", "non-dropping-particle" : "", "parse-names" : false, "suffix" : "" }, { "dropping-particle" : "", "family" : "Tops", "given" : "C M J", "non-dropping-particle" : "", "parse-names" : false, "suffix" : "" }, { "dropping-particle" : "", "family" : "Romijn", "given" : "J a", "non-dropping-particle" : "", "parse-names" : false, "suffix" : "" }, { "dropping-particle" : "", "family" : "Vriends", "given" : "a H J T", "non-dropping-particle" : "", "parse-names" : false, "suffix" : "" }, { "dropping-particle" : "", "family" : "Mey", "given" : "a G L", "non-dropping-particle" : "van der", "parse-names" : false, "suffix" : "" }, { "dropping-particle" : "", "family" : "Cornelisse", "given" : "C J", "non-dropping-particle" : "", "parse-names" : false, "suffix" : "" }, { "dropping-particle" : "", "family" : "Devilee", "given" : "P", "non-dropping-particle" : "", "parse-names" : false, "suffix" : "" }, { "dropping-particle" : "", "family" : "Bayley", "given" : "J P", "non-dropping-particle" : "", "parse-names" : false, "suffix" : "" } ], "container-title" : "Clinical genetics", "id" : "ITEM-1", "issue" : "3", "issued" : { "date-parts" : [ [ "2012", "3" ] ] }, "page" : "284-8", "title" : "High prevalence of founder mutations of the succinate dehydrogenase genes in the Netherlands.", "type" : "article-journal", "volume" : "81" }, "uris" : [ "http://www.mendeley.com/documents/?uuid=f4dd7c9c-c13a-4a93-b997-867f61c92903" ] } ], "mendeley" : { "formattedCitation" : "[22]", "plainTextFormattedCitation" : "[22]", "previouslyFormattedCitation" : "&lt;sup&gt;22&lt;/sup&gt;" }, "properties" : {  }, "schema" : "https://github.com/citation-style-language/schema/raw/master/csl-citation.json" }</w:instrText>
            </w:r>
            <w:r w:rsidR="0002402C">
              <w:rPr>
                <w:rFonts w:ascii="Calibri" w:hAnsi="Calibri"/>
                <w:color w:val="000000"/>
              </w:rPr>
              <w:fldChar w:fldCharType="separate"/>
            </w:r>
            <w:r w:rsidR="004B6A5D" w:rsidRPr="004B6A5D">
              <w:rPr>
                <w:rFonts w:ascii="Calibri" w:hAnsi="Calibri"/>
                <w:b w:val="0"/>
                <w:noProof/>
                <w:color w:val="000000"/>
              </w:rPr>
              <w:t>[22]</w:t>
            </w:r>
            <w:r w:rsidR="0002402C">
              <w:rPr>
                <w:rFonts w:ascii="Calibri" w:hAnsi="Calibri"/>
                <w:color w:val="000000"/>
              </w:rPr>
              <w:fldChar w:fldCharType="end"/>
            </w:r>
          </w:p>
        </w:tc>
        <w:tc>
          <w:tcPr>
            <w:tcW w:w="622" w:type="dxa"/>
            <w:noWrap/>
            <w:hideMark/>
          </w:tcPr>
          <w:p w14:paraId="4D196ACE"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41</w:t>
            </w:r>
          </w:p>
        </w:tc>
        <w:tc>
          <w:tcPr>
            <w:tcW w:w="622" w:type="dxa"/>
            <w:noWrap/>
            <w:hideMark/>
          </w:tcPr>
          <w:p w14:paraId="63232C70"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22</w:t>
            </w:r>
          </w:p>
        </w:tc>
        <w:tc>
          <w:tcPr>
            <w:tcW w:w="672" w:type="dxa"/>
            <w:noWrap/>
            <w:hideMark/>
          </w:tcPr>
          <w:p w14:paraId="576CA917"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22.7</w:t>
            </w:r>
          </w:p>
        </w:tc>
        <w:tc>
          <w:tcPr>
            <w:tcW w:w="521" w:type="dxa"/>
            <w:noWrap/>
            <w:hideMark/>
          </w:tcPr>
          <w:p w14:paraId="7E9FC07A"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2</w:t>
            </w:r>
          </w:p>
        </w:tc>
        <w:tc>
          <w:tcPr>
            <w:tcW w:w="521" w:type="dxa"/>
            <w:noWrap/>
            <w:hideMark/>
          </w:tcPr>
          <w:p w14:paraId="51A80274"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2</w:t>
            </w:r>
          </w:p>
        </w:tc>
        <w:tc>
          <w:tcPr>
            <w:tcW w:w="672" w:type="dxa"/>
            <w:noWrap/>
            <w:hideMark/>
          </w:tcPr>
          <w:p w14:paraId="3572F8FA"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50.0</w:t>
            </w:r>
          </w:p>
        </w:tc>
        <w:tc>
          <w:tcPr>
            <w:tcW w:w="622" w:type="dxa"/>
            <w:noWrap/>
            <w:hideMark/>
          </w:tcPr>
          <w:p w14:paraId="16C66AAF"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601</w:t>
            </w:r>
          </w:p>
        </w:tc>
        <w:tc>
          <w:tcPr>
            <w:tcW w:w="622" w:type="dxa"/>
            <w:noWrap/>
            <w:hideMark/>
          </w:tcPr>
          <w:p w14:paraId="54F78993"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211</w:t>
            </w:r>
          </w:p>
        </w:tc>
        <w:tc>
          <w:tcPr>
            <w:tcW w:w="640" w:type="dxa"/>
            <w:noWrap/>
            <w:hideMark/>
          </w:tcPr>
          <w:p w14:paraId="3765A99D"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0.5</w:t>
            </w:r>
          </w:p>
        </w:tc>
        <w:tc>
          <w:tcPr>
            <w:tcW w:w="2000" w:type="dxa"/>
            <w:noWrap/>
            <w:hideMark/>
          </w:tcPr>
          <w:p w14:paraId="5228C460"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 xml:space="preserve"> - </w:t>
            </w:r>
          </w:p>
        </w:tc>
        <w:tc>
          <w:tcPr>
            <w:tcW w:w="1487" w:type="dxa"/>
            <w:noWrap/>
            <w:hideMark/>
          </w:tcPr>
          <w:p w14:paraId="010276A3"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 xml:space="preserve"> - </w:t>
            </w:r>
          </w:p>
        </w:tc>
        <w:tc>
          <w:tcPr>
            <w:tcW w:w="5005" w:type="dxa"/>
            <w:noWrap/>
            <w:hideMark/>
          </w:tcPr>
          <w:p w14:paraId="568E03EF" w14:textId="223F528F" w:rsidR="00750489" w:rsidRPr="00750489" w:rsidRDefault="0002402C"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 -</w:t>
            </w:r>
          </w:p>
        </w:tc>
      </w:tr>
      <w:tr w:rsidR="005D6D2F" w:rsidRPr="00750489" w14:paraId="6733E0C1" w14:textId="77777777" w:rsidTr="000240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8" w:type="dxa"/>
            <w:noWrap/>
            <w:hideMark/>
          </w:tcPr>
          <w:p w14:paraId="42AA32A8" w14:textId="22DF5651" w:rsidR="00750489" w:rsidRPr="00750489" w:rsidRDefault="00750489" w:rsidP="0002402C">
            <w:pPr>
              <w:widowControl/>
              <w:suppressAutoHyphens w:val="0"/>
              <w:rPr>
                <w:rFonts w:ascii="Calibri" w:hAnsi="Calibri"/>
                <w:color w:val="000000"/>
              </w:rPr>
            </w:pPr>
            <w:proofErr w:type="spellStart"/>
            <w:r w:rsidRPr="00750489">
              <w:rPr>
                <w:rFonts w:ascii="Calibri" w:hAnsi="Calibri"/>
                <w:color w:val="000000"/>
              </w:rPr>
              <w:t>Rijken</w:t>
            </w:r>
            <w:proofErr w:type="spellEnd"/>
            <w:r w:rsidRPr="00750489">
              <w:rPr>
                <w:rFonts w:ascii="Calibri" w:hAnsi="Calibri"/>
                <w:color w:val="000000"/>
              </w:rPr>
              <w:t xml:space="preserve"> et al. 2016</w:t>
            </w:r>
            <w:r w:rsidR="0002402C">
              <w:rPr>
                <w:rFonts w:ascii="Calibri" w:hAnsi="Calibri"/>
                <w:color w:val="000000"/>
              </w:rPr>
              <w:fldChar w:fldCharType="begin" w:fldLock="1"/>
            </w:r>
            <w:r w:rsidR="004B6A5D">
              <w:rPr>
                <w:rFonts w:ascii="Calibri" w:hAnsi="Calibri"/>
                <w:color w:val="000000"/>
              </w:rPr>
              <w:instrText>ADDIN CSL_CITATION { "citationItems" : [ { "id" : "ITEM-1", "itemData" : { "DOI" : "10.1111/cge.12591", "ISSN" : "13990004", "PMID" : "25827221", "abstract" : "In the Netherlands, the majority of hereditary paragangliomas (PGL) is caused by SDHD, SDHB and SDHAF2 mutations. Founder mutations in SDHD are particularly prevalent, but several SDHB founder mutations have also been described. Here, we describe an extended PGL family with a Dutch founder mutation in SDHB, c.201-4429_287-933del. The proband presented with apparently sporadic head and neck paraganglioma at advanced age. Subsequently, evaluation of the family identified several unaffected mutation carriers, asymptomatic and symptomatic PGL patients, and patients presenting with early-onset malignant pheochromocytoma. The calculated penetrance of the SDHB mutation in this kindred is lower than the risk suggested for SDHB mutations in the literature. This may represent a characteristic of this particular SDHB mutation, but may also be a reflection of the inclusion of relatively large numbers of asymptomatic mutation carriers in this family and adequate statistical correction for ascertainment bias. The low penetrance of SDHB mutations may obscure the hereditary nature of SDHB-linked disease and is important in the counseling of SDHB-linked patients. Risk estimates should preferably be based on the specific mutation involved.", "author" : [ { "dropping-particle" : "", "family" : "Rijken", "given" : "J. A.", "non-dropping-particle" : "", "parse-names" : false, "suffix" : "" }, { "dropping-particle" : "", "family" : "Niemeijer", "given" : "N. D.", "non-dropping-particle" : "", "parse-names" : false, "suffix" : "" }, { "dropping-particle" : "", "family" : "Corssmit", "given" : "E. P.M.", "non-dropping-particle" : "", "parse-names" : false, "suffix" : "" }, { "dropping-particle" : "", "family" : "Jonker", "given" : "M. A.", "non-dropping-particle" : "", "parse-names" : false, "suffix" : "" }, { "dropping-particle" : "", "family" : "Leemans", "given" : "C. R.", "non-dropping-particle" : "", "parse-names" : false, "suffix" : "" }, { "dropping-particle" : "", "family" : "Menko", "given" : "F. H.", "non-dropping-particle" : "", "parse-names" : false, "suffix" : "" }, { "dropping-particle" : "", "family" : "Hensen", "given" : "E. F.", "non-dropping-particle" : "", "parse-names" : false, "suffix" : "" } ], "container-title" : "Clinical Genetics", "id" : "ITEM-1", "issue" : "1", "issued" : { "date-parts" : [ [ "2016" ] ] }, "page" : "128-132", "title" : "Low penetrance of paraganglioma and pheochromocytoma in an extended kindred with a germline SDHB exon 3 deletion", "type" : "article-journal", "volume" : "89" }, "uris" : [ "http://www.mendeley.com/documents/?uuid=fc67a17f-ad4b-43d2-a541-ec3f49d07841" ] } ], "mendeley" : { "formattedCitation" : "[23]", "plainTextFormattedCitation" : "[23]", "previouslyFormattedCitation" : "&lt;sup&gt;23&lt;/sup&gt;" }, "properties" : {  }, "schema" : "https://github.com/citation-style-language/schema/raw/master/csl-citation.json" }</w:instrText>
            </w:r>
            <w:r w:rsidR="0002402C">
              <w:rPr>
                <w:rFonts w:ascii="Calibri" w:hAnsi="Calibri"/>
                <w:color w:val="000000"/>
              </w:rPr>
              <w:fldChar w:fldCharType="separate"/>
            </w:r>
            <w:r w:rsidR="004B6A5D" w:rsidRPr="004B6A5D">
              <w:rPr>
                <w:rFonts w:ascii="Calibri" w:hAnsi="Calibri"/>
                <w:b w:val="0"/>
                <w:noProof/>
                <w:color w:val="000000"/>
              </w:rPr>
              <w:t>[23]</w:t>
            </w:r>
            <w:r w:rsidR="0002402C">
              <w:rPr>
                <w:rFonts w:ascii="Calibri" w:hAnsi="Calibri"/>
                <w:color w:val="000000"/>
              </w:rPr>
              <w:fldChar w:fldCharType="end"/>
            </w:r>
          </w:p>
        </w:tc>
        <w:tc>
          <w:tcPr>
            <w:tcW w:w="622" w:type="dxa"/>
            <w:noWrap/>
            <w:hideMark/>
          </w:tcPr>
          <w:p w14:paraId="16663778"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17</w:t>
            </w:r>
          </w:p>
        </w:tc>
        <w:tc>
          <w:tcPr>
            <w:tcW w:w="622" w:type="dxa"/>
            <w:noWrap/>
            <w:hideMark/>
          </w:tcPr>
          <w:p w14:paraId="6A6AA14D"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1</w:t>
            </w:r>
          </w:p>
        </w:tc>
        <w:tc>
          <w:tcPr>
            <w:tcW w:w="672" w:type="dxa"/>
            <w:noWrap/>
            <w:hideMark/>
          </w:tcPr>
          <w:p w14:paraId="17BAF558"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N/A</w:t>
            </w:r>
          </w:p>
        </w:tc>
        <w:tc>
          <w:tcPr>
            <w:tcW w:w="521" w:type="dxa"/>
            <w:noWrap/>
            <w:hideMark/>
          </w:tcPr>
          <w:p w14:paraId="7A62F9CC"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521" w:type="dxa"/>
            <w:noWrap/>
            <w:hideMark/>
          </w:tcPr>
          <w:p w14:paraId="4215F63A"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672" w:type="dxa"/>
            <w:noWrap/>
            <w:hideMark/>
          </w:tcPr>
          <w:p w14:paraId="5F93F74B"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N/A</w:t>
            </w:r>
          </w:p>
        </w:tc>
        <w:tc>
          <w:tcPr>
            <w:tcW w:w="622" w:type="dxa"/>
            <w:noWrap/>
            <w:hideMark/>
          </w:tcPr>
          <w:p w14:paraId="4A82EB7C"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622" w:type="dxa"/>
            <w:noWrap/>
            <w:hideMark/>
          </w:tcPr>
          <w:p w14:paraId="1B90DBD3"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640" w:type="dxa"/>
            <w:noWrap/>
            <w:hideMark/>
          </w:tcPr>
          <w:p w14:paraId="1F4DF716"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N/A</w:t>
            </w:r>
          </w:p>
        </w:tc>
        <w:tc>
          <w:tcPr>
            <w:tcW w:w="2000" w:type="dxa"/>
            <w:noWrap/>
            <w:hideMark/>
          </w:tcPr>
          <w:p w14:paraId="0D0CBAC5"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15% by age 60</w:t>
            </w:r>
          </w:p>
        </w:tc>
        <w:tc>
          <w:tcPr>
            <w:tcW w:w="1487" w:type="dxa"/>
            <w:noWrap/>
            <w:hideMark/>
          </w:tcPr>
          <w:p w14:paraId="3C65DEC0"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 xml:space="preserve"> - </w:t>
            </w:r>
          </w:p>
        </w:tc>
        <w:tc>
          <w:tcPr>
            <w:tcW w:w="5005" w:type="dxa"/>
            <w:noWrap/>
            <w:hideMark/>
          </w:tcPr>
          <w:p w14:paraId="2B1F34A8"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 xml:space="preserve">Maximum likelihood estimate excluding the proband in one large </w:t>
            </w:r>
            <w:r w:rsidRPr="00750489">
              <w:rPr>
                <w:rFonts w:ascii="Calibri" w:hAnsi="Calibri"/>
                <w:i/>
                <w:iCs/>
                <w:color w:val="000000"/>
              </w:rPr>
              <w:t>SHDB</w:t>
            </w:r>
            <w:r w:rsidRPr="00750489">
              <w:rPr>
                <w:rFonts w:ascii="Calibri" w:hAnsi="Calibri"/>
                <w:color w:val="000000"/>
              </w:rPr>
              <w:t xml:space="preserve"> exon 3 deletion family </w:t>
            </w:r>
          </w:p>
        </w:tc>
      </w:tr>
      <w:tr w:rsidR="005D6D2F" w:rsidRPr="00750489" w14:paraId="38154E4E" w14:textId="77777777" w:rsidTr="0002402C">
        <w:trPr>
          <w:trHeight w:val="300"/>
        </w:trPr>
        <w:tc>
          <w:tcPr>
            <w:cnfStyle w:val="001000000000" w:firstRow="0" w:lastRow="0" w:firstColumn="1" w:lastColumn="0" w:oddVBand="0" w:evenVBand="0" w:oddHBand="0" w:evenHBand="0" w:firstRowFirstColumn="0" w:firstRowLastColumn="0" w:lastRowFirstColumn="0" w:lastRowLastColumn="0"/>
            <w:tcW w:w="2478" w:type="dxa"/>
            <w:noWrap/>
            <w:hideMark/>
          </w:tcPr>
          <w:p w14:paraId="4C423024" w14:textId="2F08C9A0" w:rsidR="00750489" w:rsidRPr="00750489" w:rsidRDefault="00750489" w:rsidP="0002402C">
            <w:pPr>
              <w:widowControl/>
              <w:suppressAutoHyphens w:val="0"/>
              <w:rPr>
                <w:rFonts w:ascii="Calibri" w:hAnsi="Calibri"/>
                <w:color w:val="333333"/>
              </w:rPr>
            </w:pPr>
            <w:proofErr w:type="spellStart"/>
            <w:r w:rsidRPr="00750489">
              <w:rPr>
                <w:rFonts w:ascii="Calibri" w:hAnsi="Calibri"/>
                <w:color w:val="333333"/>
              </w:rPr>
              <w:t>Eijkelenkamp</w:t>
            </w:r>
            <w:proofErr w:type="spellEnd"/>
            <w:r w:rsidRPr="00750489">
              <w:rPr>
                <w:rFonts w:ascii="Calibri" w:hAnsi="Calibri"/>
                <w:color w:val="333333"/>
              </w:rPr>
              <w:t xml:space="preserve"> et al. 2016</w:t>
            </w:r>
            <w:r w:rsidR="0002402C">
              <w:rPr>
                <w:rFonts w:ascii="Calibri" w:hAnsi="Calibri"/>
                <w:color w:val="333333"/>
              </w:rPr>
              <w:fldChar w:fldCharType="begin" w:fldLock="1"/>
            </w:r>
            <w:r w:rsidR="004B6A5D">
              <w:rPr>
                <w:rFonts w:ascii="Calibri" w:hAnsi="Calibri"/>
                <w:color w:val="333333"/>
              </w:rPr>
              <w:instrText>ADDIN CSL_CITATION { "citationItems" : [ { "id" : "ITEM-1", "itemData" : { "DOI" : "10.1007/s10689-016-9923-3", "ISSN" : "1389-9600", "PMID" : "27573198", "author" : [ { "dropping-particle" : "", "family" : "Eijkelenkamp", "given" : "Karin", "non-dropping-particle" : "", "parse-names" : false, "suffix" : "" }, { "dropping-particle" : "", "family" : "Osinga", "given" : "Thamara E.", "non-dropping-particle" : "", "parse-names" : false, "suffix" : "" }, { "dropping-particle" : "", "family" : "Jong", "given" : "Mirjam M.", "non-dropping-particle" : "de", "parse-names" : false, "suffix" : "" }, { "dropping-particle" : "", "family" : "Sluiter", "given" : "Wim J.", "non-dropping-particle" : "", "parse-names" : false, "suffix" : "" }, { "dropping-particle" : "", "family" : "Dullaart", "given" : "Robin P. F.", "non-dropping-particle" : "", "parse-names" : false, "suffix" : "" }, { "dropping-particle" : "", "family" : "Links", "given" : "Thera P.", "non-dropping-particle" : "", "parse-names" : false, "suffix" : "" }, { "dropping-particle" : "", "family" : "Kerstens", "given" : "Michiel N.", "non-dropping-particle" : "", "parse-names" : false, "suffix" : "" }, { "dropping-particle" : "", "family" : "Horst-Schrivers", "given" : "Anouk N. A.", "non-dropping-particle" : "van der", "parse-names" : false, "suffix" : "" } ], "container-title" : "Familial Cancer", "id" : "ITEM-1", "issued" : { "date-parts" : [ [ "2016" ] ] }, "title" : "Calculating the optimal surveillance for head and neck paraganglioma in SDHB-mutation carriers", "type" : "article-journal" }, "uris" : [ "http://www.mendeley.com/documents/?uuid=21cea58a-b7e7-38f1-ae35-ffd6a597570d" ] } ], "mendeley" : { "formattedCitation" : "[24]", "plainTextFormattedCitation" : "[24]", "previouslyFormattedCitation" : "&lt;sup&gt;24&lt;/sup&gt;" }, "properties" : {  }, "schema" : "https://github.com/citation-style-language/schema/raw/master/csl-citation.json" }</w:instrText>
            </w:r>
            <w:r w:rsidR="0002402C">
              <w:rPr>
                <w:rFonts w:ascii="Calibri" w:hAnsi="Calibri"/>
                <w:color w:val="333333"/>
              </w:rPr>
              <w:fldChar w:fldCharType="separate"/>
            </w:r>
            <w:r w:rsidR="004B6A5D" w:rsidRPr="004B6A5D">
              <w:rPr>
                <w:rFonts w:ascii="Calibri" w:hAnsi="Calibri"/>
                <w:b w:val="0"/>
                <w:noProof/>
                <w:color w:val="333333"/>
              </w:rPr>
              <w:t>[24]</w:t>
            </w:r>
            <w:r w:rsidR="0002402C">
              <w:rPr>
                <w:rFonts w:ascii="Calibri" w:hAnsi="Calibri"/>
                <w:color w:val="333333"/>
              </w:rPr>
              <w:fldChar w:fldCharType="end"/>
            </w:r>
          </w:p>
        </w:tc>
        <w:tc>
          <w:tcPr>
            <w:tcW w:w="622" w:type="dxa"/>
            <w:noWrap/>
            <w:hideMark/>
          </w:tcPr>
          <w:p w14:paraId="223DC1BA"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91</w:t>
            </w:r>
          </w:p>
        </w:tc>
        <w:tc>
          <w:tcPr>
            <w:tcW w:w="622" w:type="dxa"/>
            <w:noWrap/>
            <w:hideMark/>
          </w:tcPr>
          <w:p w14:paraId="363DBE95"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21</w:t>
            </w:r>
          </w:p>
        </w:tc>
        <w:tc>
          <w:tcPr>
            <w:tcW w:w="672" w:type="dxa"/>
            <w:noWrap/>
            <w:hideMark/>
          </w:tcPr>
          <w:p w14:paraId="79C534F0" w14:textId="3993BEF3" w:rsidR="00750489" w:rsidRPr="00750489" w:rsidRDefault="005D6D2F"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 -</w:t>
            </w:r>
          </w:p>
        </w:tc>
        <w:tc>
          <w:tcPr>
            <w:tcW w:w="521" w:type="dxa"/>
            <w:noWrap/>
            <w:hideMark/>
          </w:tcPr>
          <w:p w14:paraId="1D8CE116"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521" w:type="dxa"/>
            <w:noWrap/>
            <w:hideMark/>
          </w:tcPr>
          <w:p w14:paraId="40A3D33F"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672" w:type="dxa"/>
            <w:noWrap/>
            <w:hideMark/>
          </w:tcPr>
          <w:p w14:paraId="67EBF1F3"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N/A</w:t>
            </w:r>
          </w:p>
        </w:tc>
        <w:tc>
          <w:tcPr>
            <w:tcW w:w="622" w:type="dxa"/>
            <w:noWrap/>
            <w:hideMark/>
          </w:tcPr>
          <w:p w14:paraId="61ADDDDA"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0.0</w:t>
            </w:r>
          </w:p>
        </w:tc>
        <w:tc>
          <w:tcPr>
            <w:tcW w:w="622" w:type="dxa"/>
            <w:noWrap/>
            <w:hideMark/>
          </w:tcPr>
          <w:p w14:paraId="6624E795"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0.0</w:t>
            </w:r>
          </w:p>
        </w:tc>
        <w:tc>
          <w:tcPr>
            <w:tcW w:w="640" w:type="dxa"/>
            <w:noWrap/>
            <w:hideMark/>
          </w:tcPr>
          <w:p w14:paraId="30D534D8"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N/A</w:t>
            </w:r>
          </w:p>
        </w:tc>
        <w:tc>
          <w:tcPr>
            <w:tcW w:w="2000" w:type="dxa"/>
            <w:noWrap/>
            <w:hideMark/>
          </w:tcPr>
          <w:p w14:paraId="7E5903A7"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12% by age 60</w:t>
            </w:r>
          </w:p>
        </w:tc>
        <w:tc>
          <w:tcPr>
            <w:tcW w:w="1487" w:type="dxa"/>
            <w:noWrap/>
            <w:hideMark/>
          </w:tcPr>
          <w:p w14:paraId="37EE1EEC"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 xml:space="preserve"> - </w:t>
            </w:r>
          </w:p>
        </w:tc>
        <w:tc>
          <w:tcPr>
            <w:tcW w:w="5005" w:type="dxa"/>
            <w:noWrap/>
            <w:hideMark/>
          </w:tcPr>
          <w:p w14:paraId="452503F3"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Kaplan Meier analysis of non-probands</w:t>
            </w:r>
          </w:p>
        </w:tc>
      </w:tr>
      <w:tr w:rsidR="005D6D2F" w:rsidRPr="00750489" w14:paraId="6EDEE0E1" w14:textId="77777777" w:rsidTr="000240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8" w:type="dxa"/>
            <w:noWrap/>
            <w:hideMark/>
          </w:tcPr>
          <w:p w14:paraId="2469D5B0" w14:textId="612ADA17" w:rsidR="00750489" w:rsidRPr="00750489" w:rsidRDefault="00750489" w:rsidP="0002402C">
            <w:pPr>
              <w:widowControl/>
              <w:suppressAutoHyphens w:val="0"/>
              <w:rPr>
                <w:rFonts w:ascii="Calibri" w:hAnsi="Calibri"/>
                <w:color w:val="000000"/>
              </w:rPr>
            </w:pPr>
            <w:proofErr w:type="spellStart"/>
            <w:r w:rsidRPr="00750489">
              <w:rPr>
                <w:rFonts w:ascii="Calibri" w:hAnsi="Calibri"/>
                <w:color w:val="000000"/>
              </w:rPr>
              <w:t>Jochmanova</w:t>
            </w:r>
            <w:proofErr w:type="spellEnd"/>
            <w:r w:rsidRPr="00750489">
              <w:rPr>
                <w:rFonts w:ascii="Calibri" w:hAnsi="Calibri"/>
                <w:color w:val="000000"/>
              </w:rPr>
              <w:t xml:space="preserve"> et al. 2017</w:t>
            </w:r>
            <w:r w:rsidR="0002402C">
              <w:rPr>
                <w:rFonts w:ascii="Calibri" w:hAnsi="Calibri"/>
                <w:color w:val="000000"/>
              </w:rPr>
              <w:fldChar w:fldCharType="begin" w:fldLock="1"/>
            </w:r>
            <w:r w:rsidR="004B6A5D">
              <w:rPr>
                <w:rFonts w:ascii="Calibri" w:hAnsi="Calibri"/>
                <w:color w:val="000000"/>
              </w:rPr>
              <w:instrText>ADDIN CSL_CITATION { "citationItems" : [ { "id" : "ITEM-1", "itemData" : { "DOI" : "10.1007/s00432-017-2397-3", "ISBN" : "0123456789", "ISSN" : "14321335", "PMID" : "28374168", "abstract" : "PURPOSE Succinate dehydrogenase subunit B (SDHB) gene mutations are associated with an aggressive clinical disease course of pheochromocytoma/paraganglioma (PHEO/PGL). Limited information is available concerning PHEO/PGL penetrance among SDHB mutation carriers with regards to primary tumor location, specific mutation type, and gender. We assessed PHEO/PGL penetrance in SDHB mutation carriers and described the clinical presentation and disease course. METHODS Asymptomatic relatives (N\u2009=\u2009611) of 103 index patients were tested for SDHB mutations. Mutation carriers (N\u2009=\u2009328) were offered PHEO/PGL screening, of which 241 participated and were included in penetrance analysis. For additional disease outcome analysis, the 103 index patients and 40 screened individuals who developed PHEO/PGL were included. Clinical data were collected between October 2004 and June 2016. RESULTS Forty (16.60%) of the 241 screened individuals developed PHEO/PGL during the study. The penetrance estimate in this population was 49.80% (95% CI 29-74.9) at 85\u00a0years. A significantly higher age-related penetrance of disease was observed in males compared to females, with 50% penetrance achieved at age 74 vs. not reached. Age-related penetrance analysis demonstrated 4 mutations (Ile127Ser, IVS1+1G&gt;T, Exon 1 deletion, Arg90X) presenting with a slower rate of disease development (50% penetrance ages, respectively: not achieved, 70, 63, 61\u00a0years) compared to Arg46X and Val140Phe mutations (50% penetrance at 38\u00a0years). CONCLUSIONS Here, we found a higher estimated penetrance compared to several other studies, and a striking difference in age-related penetrance between male and female SDHB mutation carriers with no association between mutation and gender or tumor location.", "author" : [ { "dropping-particle" : "", "family" : "Jochmanova", "given" : "Ivana", "non-dropping-particle" : "", "parse-names" : false, "suffix" : "" }, { "dropping-particle" : "", "family" : "Wolf", "given" : "Katherine I.", "non-dropping-particle" : "", "parse-names" : false, "suffix" : "" }, { "dropping-particle" : "", "family" : "King", "given" : "Kathryn S.", "non-dropping-particle" : "", "parse-names" : false, "suffix" : "" }, { "dropping-particle" : "", "family" : "Nambuba", "given" : "Joan", "non-dropping-particle" : "", "parse-names" : false, "suffix" : "" }, { "dropping-particle" : "", "family" : "Wesley", "given" : "Robert", "non-dropping-particle" : "", "parse-names" : false, "suffix" : "" }, { "dropping-particle" : "", "family" : "Martucci", "given" : "Victoria", "non-dropping-particle" : "", "parse-names" : false, "suffix" : "" }, { "dropping-particle" : "", "family" : "Raygada", "given" : "Margarita", "non-dropping-particle" : "", "parse-names" : false, "suffix" : "" }, { "dropping-particle" : "", "family" : "Adams", "given" : "Karen T.", "non-dropping-particle" : "", "parse-names" : false, "suffix" : "" }, { "dropping-particle" : "", "family" : "Prodanov", "given" : "Tamara", "non-dropping-particle" : "", "parse-names" : false, "suffix" : "" }, { "dropping-particle" : "", "family" : "Fojo", "given" : "Antonio Tito", "non-dropping-particle" : "", "parse-names" : false, "suffix" : "" }, { "dropping-particle" : "", "family" : "Lazurova", "given" : "Ivica", "non-dropping-particle" : "", "parse-names" : false, "suffix" : "" }, { "dropping-particle" : "", "family" : "Pacak", "given" : "Karel", "non-dropping-particle" : "", "parse-names" : false, "suffix" : "" } ], "container-title" : "Journal of Cancer Research and Clinical Oncology", "id" : "ITEM-1", "issue" : "0", "issued" : { "date-parts" : [ [ "2017" ] ] }, "page" : "1-15", "publisher" : "Springer Berlin Heidelberg", "title" : "SDHB-related pheochromocytoma and paraganglioma penetrance and genotype???phenotype correlations", "type" : "article-journal", "volume" : "0" }, "uris" : [ "http://www.mendeley.com/documents/?uuid=0bd6f978-a6e5-4989-9e68-749d4ba87872" ] } ], "mendeley" : { "formattedCitation" : "[25]", "plainTextFormattedCitation" : "[25]", "previouslyFormattedCitation" : "&lt;sup&gt;25&lt;/sup&gt;" }, "properties" : {  }, "schema" : "https://github.com/citation-style-language/schema/raw/master/csl-citation.json" }</w:instrText>
            </w:r>
            <w:r w:rsidR="0002402C">
              <w:rPr>
                <w:rFonts w:ascii="Calibri" w:hAnsi="Calibri"/>
                <w:color w:val="000000"/>
              </w:rPr>
              <w:fldChar w:fldCharType="separate"/>
            </w:r>
            <w:r w:rsidR="004B6A5D" w:rsidRPr="004B6A5D">
              <w:rPr>
                <w:rFonts w:ascii="Calibri" w:hAnsi="Calibri"/>
                <w:b w:val="0"/>
                <w:noProof/>
                <w:color w:val="000000"/>
              </w:rPr>
              <w:t>[25]</w:t>
            </w:r>
            <w:r w:rsidR="0002402C">
              <w:rPr>
                <w:rFonts w:ascii="Calibri" w:hAnsi="Calibri"/>
                <w:color w:val="000000"/>
              </w:rPr>
              <w:fldChar w:fldCharType="end"/>
            </w:r>
          </w:p>
        </w:tc>
        <w:tc>
          <w:tcPr>
            <w:tcW w:w="622" w:type="dxa"/>
            <w:noWrap/>
            <w:hideMark/>
          </w:tcPr>
          <w:p w14:paraId="0B378221"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431</w:t>
            </w:r>
          </w:p>
        </w:tc>
        <w:tc>
          <w:tcPr>
            <w:tcW w:w="622" w:type="dxa"/>
            <w:noWrap/>
            <w:hideMark/>
          </w:tcPr>
          <w:p w14:paraId="6B87E083"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103</w:t>
            </w:r>
          </w:p>
        </w:tc>
        <w:tc>
          <w:tcPr>
            <w:tcW w:w="672" w:type="dxa"/>
            <w:noWrap/>
            <w:hideMark/>
          </w:tcPr>
          <w:p w14:paraId="56BCE817"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5.8</w:t>
            </w:r>
          </w:p>
        </w:tc>
        <w:tc>
          <w:tcPr>
            <w:tcW w:w="521" w:type="dxa"/>
            <w:noWrap/>
            <w:hideMark/>
          </w:tcPr>
          <w:p w14:paraId="2820A6C7"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521" w:type="dxa"/>
            <w:noWrap/>
            <w:hideMark/>
          </w:tcPr>
          <w:p w14:paraId="07AAF3C4"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672" w:type="dxa"/>
            <w:noWrap/>
            <w:hideMark/>
          </w:tcPr>
          <w:p w14:paraId="44566704"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N/A</w:t>
            </w:r>
          </w:p>
        </w:tc>
        <w:tc>
          <w:tcPr>
            <w:tcW w:w="622" w:type="dxa"/>
            <w:noWrap/>
            <w:hideMark/>
          </w:tcPr>
          <w:p w14:paraId="41BAE2DD"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0.0</w:t>
            </w:r>
          </w:p>
        </w:tc>
        <w:tc>
          <w:tcPr>
            <w:tcW w:w="622" w:type="dxa"/>
            <w:noWrap/>
            <w:hideMark/>
          </w:tcPr>
          <w:p w14:paraId="399E0D08"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0.0</w:t>
            </w:r>
          </w:p>
        </w:tc>
        <w:tc>
          <w:tcPr>
            <w:tcW w:w="640" w:type="dxa"/>
            <w:noWrap/>
            <w:hideMark/>
          </w:tcPr>
          <w:p w14:paraId="7F66B016"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N/A</w:t>
            </w:r>
          </w:p>
        </w:tc>
        <w:tc>
          <w:tcPr>
            <w:tcW w:w="2000" w:type="dxa"/>
            <w:noWrap/>
            <w:hideMark/>
          </w:tcPr>
          <w:p w14:paraId="217E4770"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20% by age 50</w:t>
            </w:r>
          </w:p>
        </w:tc>
        <w:tc>
          <w:tcPr>
            <w:tcW w:w="1487" w:type="dxa"/>
            <w:noWrap/>
            <w:hideMark/>
          </w:tcPr>
          <w:p w14:paraId="04874884"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 xml:space="preserve"> -</w:t>
            </w:r>
          </w:p>
        </w:tc>
        <w:tc>
          <w:tcPr>
            <w:tcW w:w="5005" w:type="dxa"/>
            <w:noWrap/>
            <w:hideMark/>
          </w:tcPr>
          <w:p w14:paraId="54F5A59A"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Kaplan Meier analysis of non-probands</w:t>
            </w:r>
          </w:p>
        </w:tc>
      </w:tr>
      <w:tr w:rsidR="005D6D2F" w:rsidRPr="00750489" w14:paraId="2BB128B6" w14:textId="77777777" w:rsidTr="0002402C">
        <w:trPr>
          <w:trHeight w:val="300"/>
        </w:trPr>
        <w:tc>
          <w:tcPr>
            <w:cnfStyle w:val="001000000000" w:firstRow="0" w:lastRow="0" w:firstColumn="1" w:lastColumn="0" w:oddVBand="0" w:evenVBand="0" w:oddHBand="0" w:evenHBand="0" w:firstRowFirstColumn="0" w:firstRowLastColumn="0" w:lastRowFirstColumn="0" w:lastRowLastColumn="0"/>
            <w:tcW w:w="2478" w:type="dxa"/>
            <w:noWrap/>
            <w:hideMark/>
          </w:tcPr>
          <w:p w14:paraId="77661311" w14:textId="06B6AD19" w:rsidR="00750489" w:rsidRPr="00750489" w:rsidRDefault="00750489" w:rsidP="0002402C">
            <w:pPr>
              <w:widowControl/>
              <w:suppressAutoHyphens w:val="0"/>
              <w:rPr>
                <w:rFonts w:ascii="Calibri" w:hAnsi="Calibri"/>
                <w:color w:val="000000"/>
              </w:rPr>
            </w:pPr>
            <w:proofErr w:type="spellStart"/>
            <w:r w:rsidRPr="00750489">
              <w:rPr>
                <w:rFonts w:ascii="Calibri" w:hAnsi="Calibri"/>
                <w:color w:val="000000"/>
              </w:rPr>
              <w:t>Rijken</w:t>
            </w:r>
            <w:proofErr w:type="spellEnd"/>
            <w:r w:rsidRPr="00750489">
              <w:rPr>
                <w:rFonts w:ascii="Calibri" w:hAnsi="Calibri"/>
                <w:color w:val="000000"/>
              </w:rPr>
              <w:t xml:space="preserve"> et al. 2017</w:t>
            </w:r>
            <w:r w:rsidR="0002402C">
              <w:rPr>
                <w:rFonts w:ascii="Calibri" w:hAnsi="Calibri"/>
                <w:color w:val="000000"/>
              </w:rPr>
              <w:fldChar w:fldCharType="begin" w:fldLock="1"/>
            </w:r>
            <w:r w:rsidR="004B6A5D">
              <w:rPr>
                <w:rFonts w:ascii="Calibri" w:hAnsi="Calibri"/>
                <w:color w:val="000000"/>
              </w:rPr>
              <w:instrText>ADDIN CSL_CITATION { "citationItems" : [ { "id" : "ITEM-1", "itemData" : { "DOI" : "10.1111/cge.13055", "ISSN" : "00099163", "PMID" : "28503760", "abstract" : "Germline mutations in SDHB predispose to hereditary paraganglioma syndrome type 4. The risk of developing paraganglioma (PGL) or pheochromocytoma (PHEO) in SDHB mutation carriers is subject of recent debate. In the present nationwide cohort study of SDHB mutation carriers identified by the clinical genetics centers of the Netherlands, we have calculated the penetrance of SDHB associated tumors using a novel maximum likelihood estimator. This estimator addresses ascertainment bias and missing data on pedigree size and structure. 195 SDHB mutation carriers were included, carrying 27 different SDHB mutations. The 2 most prevalent SDHB mutations were Dutch founder mutations: a deletion in exon 3 (31% of mutation carriers) and the c.423+1G&gt;A mutation (24% of mutation carriers). One hundred twelve carriers (57.4%) displayed no physical, radiological or biochemical evidence of PGL or PHEO. Fifty-four patients had a head and neck PGL (27.7%), 4 patients had a PHEO (2.1%), 26 patients an extra-adrenal PGL (13.3%). The overall penetrance of SDHB mutations is estimated to be 21% at age 50 and 42% at age 70 when adequately corrected for ascertainment. These estimates are lower than previously reported penetrance estimates of SDHB-linked cohorts. Similar disease risks are found for different SDHB germline mutations as well as for male and female SDHB mutation carriers.", "author" : [ { "dropping-particle" : "", "family" : "Rijken", "given" : "Johannes A.", "non-dropping-particle" : "", "parse-names" : false, "suffix" : "" }, { "dropping-particle" : "", "family" : "Niemeijer", "given" : "Nicolasine D.", "non-dropping-particle" : "", "parse-names" : false, "suffix" : "" }, { "dropping-particle" : "", "family" : "Jonker", "given" : "Marianne. A.", "non-dropping-particle" : "", "parse-names" : false, "suffix" : "" }, { "dropping-particle" : "", "family" : "Eijkelenkamp", "given" : "Karin", "non-dropping-particle" : "", "parse-names" : false, "suffix" : "" }, { "dropping-particle" : "", "family" : "Jansen", "given" : "Jeroen C.", "non-dropping-particle" : "", "parse-names" : false, "suffix" : "" }, { "dropping-particle" : "", "family" : "Berkel", "given" : "Anouk", "non-dropping-particle" : "van", "parse-names" : false, "suffix" : "" }, { "dropping-particle" : "", "family" : "M Timmers", "given" : "Henri J.L.", "non-dropping-particle" : "", "parse-names" : false, "suffix" : "" }, { "dropping-particle" : "", "family" : "Kunst", "given" : "Henricus P.M.", "non-dropping-particle" : "", "parse-names" : false, "suffix" : "" }, { "dropping-particle" : "", "family" : "Bisschop", "given" : "Peter H.L.T.", "non-dropping-particle" : "", "parse-names" : false, "suffix" : "" }, { "dropping-particle" : "", "family" : "Kerstens", "given" : "Michiel N.", "non-dropping-particle" : "", "parse-names" : false, "suffix" : "" }, { "dropping-particle" : "", "family" : "Dreijerink", "given" : "Koen M. A.", "non-dropping-particle" : "", "parse-names" : false, "suffix" : "" }, { "dropping-particle" : "", "family" : "Dooren", "given" : "Marieke F.", "non-dropping-particle" : "van", "parse-names" : false, "suffix" : "" }, { "dropping-particle" : "", "family" : "Horst-Schrivers", "given" : "Anouk N.A.", "non-dropping-particle" : "van der", "parse-names" : false, "suffix" : "" }, { "dropping-particle" : "", "family" : "Hes", "given" : "Frederik J.", "non-dropping-particle" : "", "parse-names" : false, "suffix" : "" }, { "dropping-particle" : "", "family" : "Ren\u00e9 Leemans", "given" : "C.", "non-dropping-particle" : "", "parse-names" : false, "suffix" : "" }, { "dropping-particle" : "", "family" : "Corssmit", "given" : "Eleonora P. M.", "non-dropping-particle" : "", "parse-names" : false, "suffix" : "" }, { "dropping-particle" : "", "family" : "Hensen", "given" : "Erik F.", "non-dropping-particle" : "", "parse-names" : false, "suffix" : "" } ], "container-title" : "Clinical Genetics", "id" : "ITEM-1", "issued" : { "date-parts" : [ [ "2017", "5", "14" ] ] }, "title" : "The Penetrance of Paraganglioma and Pheochromocytoma in &lt;i&gt;SDHB&lt;/i&gt; germline mutation carriers", "type" : "article-journal" }, "uris" : [ "http://www.mendeley.com/documents/?uuid=f213d16f-2e3b-33fa-a363-4672042c9d9d" ] } ], "mendeley" : { "formattedCitation" : "[26]", "plainTextFormattedCitation" : "[26]", "previouslyFormattedCitation" : "&lt;sup&gt;26&lt;/sup&gt;" }, "properties" : {  }, "schema" : "https://github.com/citation-style-language/schema/raw/master/csl-citation.json" }</w:instrText>
            </w:r>
            <w:r w:rsidR="0002402C">
              <w:rPr>
                <w:rFonts w:ascii="Calibri" w:hAnsi="Calibri"/>
                <w:color w:val="000000"/>
              </w:rPr>
              <w:fldChar w:fldCharType="separate"/>
            </w:r>
            <w:r w:rsidR="004B6A5D" w:rsidRPr="004B6A5D">
              <w:rPr>
                <w:rFonts w:ascii="Calibri" w:hAnsi="Calibri"/>
                <w:b w:val="0"/>
                <w:noProof/>
                <w:color w:val="000000"/>
              </w:rPr>
              <w:t>[26]</w:t>
            </w:r>
            <w:r w:rsidR="0002402C">
              <w:rPr>
                <w:rFonts w:ascii="Calibri" w:hAnsi="Calibri"/>
                <w:color w:val="000000"/>
              </w:rPr>
              <w:fldChar w:fldCharType="end"/>
            </w:r>
          </w:p>
        </w:tc>
        <w:tc>
          <w:tcPr>
            <w:tcW w:w="622" w:type="dxa"/>
            <w:noWrap/>
            <w:hideMark/>
          </w:tcPr>
          <w:p w14:paraId="21F672C8"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195</w:t>
            </w:r>
          </w:p>
        </w:tc>
        <w:tc>
          <w:tcPr>
            <w:tcW w:w="622" w:type="dxa"/>
            <w:noWrap/>
            <w:hideMark/>
          </w:tcPr>
          <w:p w14:paraId="069E2306"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65</w:t>
            </w:r>
          </w:p>
        </w:tc>
        <w:tc>
          <w:tcPr>
            <w:tcW w:w="672" w:type="dxa"/>
            <w:noWrap/>
            <w:hideMark/>
          </w:tcPr>
          <w:p w14:paraId="7BB251C7" w14:textId="544CE9FA" w:rsidR="00750489" w:rsidRPr="00750489" w:rsidRDefault="005D6D2F"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 -</w:t>
            </w:r>
          </w:p>
        </w:tc>
        <w:tc>
          <w:tcPr>
            <w:tcW w:w="521" w:type="dxa"/>
            <w:noWrap/>
            <w:hideMark/>
          </w:tcPr>
          <w:p w14:paraId="02F82CC4"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521" w:type="dxa"/>
            <w:noWrap/>
            <w:hideMark/>
          </w:tcPr>
          <w:p w14:paraId="05DA1D38"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0</w:t>
            </w:r>
          </w:p>
        </w:tc>
        <w:tc>
          <w:tcPr>
            <w:tcW w:w="672" w:type="dxa"/>
            <w:noWrap/>
            <w:hideMark/>
          </w:tcPr>
          <w:p w14:paraId="1B9FA1CC"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N/A</w:t>
            </w:r>
          </w:p>
        </w:tc>
        <w:tc>
          <w:tcPr>
            <w:tcW w:w="622" w:type="dxa"/>
            <w:noWrap/>
            <w:hideMark/>
          </w:tcPr>
          <w:p w14:paraId="560EDF46"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0.0</w:t>
            </w:r>
          </w:p>
        </w:tc>
        <w:tc>
          <w:tcPr>
            <w:tcW w:w="622" w:type="dxa"/>
            <w:noWrap/>
            <w:hideMark/>
          </w:tcPr>
          <w:p w14:paraId="139858A9"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0.0</w:t>
            </w:r>
          </w:p>
        </w:tc>
        <w:tc>
          <w:tcPr>
            <w:tcW w:w="640" w:type="dxa"/>
            <w:noWrap/>
            <w:hideMark/>
          </w:tcPr>
          <w:p w14:paraId="568E0D7B"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N/A</w:t>
            </w:r>
          </w:p>
        </w:tc>
        <w:tc>
          <w:tcPr>
            <w:tcW w:w="2000" w:type="dxa"/>
            <w:noWrap/>
            <w:hideMark/>
          </w:tcPr>
          <w:p w14:paraId="22A80978"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21% by age 50</w:t>
            </w:r>
          </w:p>
        </w:tc>
        <w:tc>
          <w:tcPr>
            <w:tcW w:w="1487" w:type="dxa"/>
            <w:noWrap/>
            <w:hideMark/>
          </w:tcPr>
          <w:p w14:paraId="237FF5A5"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 xml:space="preserve"> - </w:t>
            </w:r>
          </w:p>
        </w:tc>
        <w:tc>
          <w:tcPr>
            <w:tcW w:w="5005" w:type="dxa"/>
            <w:noWrap/>
            <w:hideMark/>
          </w:tcPr>
          <w:p w14:paraId="7EFF857E" w14:textId="77777777" w:rsidR="00750489" w:rsidRPr="00750489" w:rsidRDefault="00750489" w:rsidP="00750489">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750489">
              <w:rPr>
                <w:rFonts w:ascii="Calibri" w:hAnsi="Calibri"/>
                <w:color w:val="000000"/>
              </w:rPr>
              <w:t>Maximum likelihood estimate using all patients</w:t>
            </w:r>
          </w:p>
        </w:tc>
      </w:tr>
      <w:tr w:rsidR="005D6D2F" w:rsidRPr="00750489" w14:paraId="44723E08" w14:textId="77777777" w:rsidTr="0002402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8" w:type="dxa"/>
            <w:noWrap/>
            <w:hideMark/>
          </w:tcPr>
          <w:p w14:paraId="4673A45C" w14:textId="77777777" w:rsidR="00750489" w:rsidRPr="00750489" w:rsidRDefault="00750489" w:rsidP="00750489">
            <w:pPr>
              <w:widowControl/>
              <w:suppressAutoHyphens w:val="0"/>
              <w:rPr>
                <w:rFonts w:ascii="Calibri" w:hAnsi="Calibri"/>
                <w:color w:val="000000"/>
              </w:rPr>
            </w:pPr>
            <w:r w:rsidRPr="00750489">
              <w:rPr>
                <w:rFonts w:ascii="Calibri" w:hAnsi="Calibri"/>
                <w:color w:val="000000"/>
              </w:rPr>
              <w:t xml:space="preserve">This study </w:t>
            </w:r>
          </w:p>
        </w:tc>
        <w:tc>
          <w:tcPr>
            <w:tcW w:w="622" w:type="dxa"/>
            <w:noWrap/>
            <w:hideMark/>
          </w:tcPr>
          <w:p w14:paraId="5D7539E2" w14:textId="100AF2DB"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67</w:t>
            </w:r>
            <w:r w:rsidR="00F22745">
              <w:rPr>
                <w:rFonts w:ascii="Calibri" w:hAnsi="Calibri"/>
                <w:color w:val="000000"/>
              </w:rPr>
              <w:t>3</w:t>
            </w:r>
          </w:p>
        </w:tc>
        <w:tc>
          <w:tcPr>
            <w:tcW w:w="622" w:type="dxa"/>
            <w:noWrap/>
            <w:hideMark/>
          </w:tcPr>
          <w:p w14:paraId="753A727B" w14:textId="0F1376FB"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27</w:t>
            </w:r>
            <w:r w:rsidR="00F22745">
              <w:rPr>
                <w:rFonts w:ascii="Calibri" w:hAnsi="Calibri"/>
                <w:color w:val="000000"/>
              </w:rPr>
              <w:t>2</w:t>
            </w:r>
          </w:p>
        </w:tc>
        <w:tc>
          <w:tcPr>
            <w:tcW w:w="672" w:type="dxa"/>
            <w:noWrap/>
            <w:hideMark/>
          </w:tcPr>
          <w:p w14:paraId="5E46E1A7" w14:textId="78C8303B" w:rsidR="00750489" w:rsidRPr="00750489" w:rsidRDefault="00750489" w:rsidP="00490651">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90651">
              <w:rPr>
                <w:rFonts w:ascii="Calibri" w:hAnsi="Calibri"/>
                <w:color w:val="000000"/>
              </w:rPr>
              <w:t>13.</w:t>
            </w:r>
            <w:r w:rsidR="00490651">
              <w:rPr>
                <w:rFonts w:ascii="Calibri" w:hAnsi="Calibri"/>
                <w:color w:val="000000"/>
              </w:rPr>
              <w:t>2</w:t>
            </w:r>
          </w:p>
        </w:tc>
        <w:tc>
          <w:tcPr>
            <w:tcW w:w="521" w:type="dxa"/>
            <w:noWrap/>
            <w:hideMark/>
          </w:tcPr>
          <w:p w14:paraId="604B9F01"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43</w:t>
            </w:r>
          </w:p>
        </w:tc>
        <w:tc>
          <w:tcPr>
            <w:tcW w:w="521" w:type="dxa"/>
            <w:noWrap/>
            <w:hideMark/>
          </w:tcPr>
          <w:p w14:paraId="501FD350"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26</w:t>
            </w:r>
          </w:p>
        </w:tc>
        <w:tc>
          <w:tcPr>
            <w:tcW w:w="672" w:type="dxa"/>
            <w:noWrap/>
            <w:hideMark/>
          </w:tcPr>
          <w:p w14:paraId="6FFA77C1"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23.1</w:t>
            </w:r>
          </w:p>
        </w:tc>
        <w:tc>
          <w:tcPr>
            <w:tcW w:w="622" w:type="dxa"/>
            <w:noWrap/>
            <w:hideMark/>
          </w:tcPr>
          <w:p w14:paraId="76D12331"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160</w:t>
            </w:r>
          </w:p>
        </w:tc>
        <w:tc>
          <w:tcPr>
            <w:tcW w:w="622" w:type="dxa"/>
            <w:noWrap/>
            <w:hideMark/>
          </w:tcPr>
          <w:p w14:paraId="50400736"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90</w:t>
            </w:r>
          </w:p>
        </w:tc>
        <w:tc>
          <w:tcPr>
            <w:tcW w:w="640" w:type="dxa"/>
            <w:noWrap/>
            <w:hideMark/>
          </w:tcPr>
          <w:p w14:paraId="4361788F"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3.3</w:t>
            </w:r>
          </w:p>
        </w:tc>
        <w:tc>
          <w:tcPr>
            <w:tcW w:w="2000" w:type="dxa"/>
            <w:noWrap/>
            <w:hideMark/>
          </w:tcPr>
          <w:p w14:paraId="0D5AECE7"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90651">
              <w:rPr>
                <w:rFonts w:ascii="Calibri" w:hAnsi="Calibri"/>
                <w:color w:val="000000"/>
              </w:rPr>
              <w:t>22% / 24% by age 60</w:t>
            </w:r>
          </w:p>
        </w:tc>
        <w:tc>
          <w:tcPr>
            <w:tcW w:w="1487" w:type="dxa"/>
            <w:noWrap/>
            <w:hideMark/>
          </w:tcPr>
          <w:p w14:paraId="743F236B"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43% by age 60</w:t>
            </w:r>
          </w:p>
        </w:tc>
        <w:tc>
          <w:tcPr>
            <w:tcW w:w="5005" w:type="dxa"/>
            <w:noWrap/>
            <w:hideMark/>
          </w:tcPr>
          <w:p w14:paraId="353EC758" w14:textId="77777777" w:rsidR="00750489" w:rsidRPr="00750489" w:rsidRDefault="00750489" w:rsidP="00750489">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50489">
              <w:rPr>
                <w:rFonts w:ascii="Calibri" w:hAnsi="Calibri"/>
                <w:color w:val="000000"/>
              </w:rPr>
              <w:t xml:space="preserve">Kaplan Meier analysis of non-probands / Modified segregation analysis </w:t>
            </w:r>
          </w:p>
        </w:tc>
      </w:tr>
    </w:tbl>
    <w:p w14:paraId="043801DF" w14:textId="77777777" w:rsidR="005D6D2F" w:rsidRDefault="005D6D2F" w:rsidP="00750489">
      <w:pPr>
        <w:pageBreakBefore/>
        <w:spacing w:after="120"/>
        <w:rPr>
          <w:rFonts w:ascii="Calibri" w:hAnsi="Calibri" w:cs="Arial"/>
          <w:bCs/>
          <w:color w:val="000000"/>
          <w:sz w:val="22"/>
          <w:szCs w:val="22"/>
        </w:rPr>
        <w:sectPr w:rsidR="005D6D2F" w:rsidSect="000A6668">
          <w:pgSz w:w="16838" w:h="11906" w:orient="landscape"/>
          <w:pgMar w:top="1134" w:right="1134" w:bottom="1134" w:left="1134" w:header="720" w:footer="720" w:gutter="0"/>
          <w:cols w:space="720"/>
        </w:sectPr>
      </w:pPr>
    </w:p>
    <w:p w14:paraId="03796517" w14:textId="5D8B969D" w:rsidR="009032FB" w:rsidRPr="00750489" w:rsidRDefault="000A6668" w:rsidP="009032FB">
      <w:pPr>
        <w:rPr>
          <w:rFonts w:ascii="Calibri" w:hAnsi="Calibri" w:cs="Arial"/>
          <w:b/>
          <w:sz w:val="22"/>
          <w:szCs w:val="22"/>
          <w:lang w:eastAsia="ar-SA"/>
        </w:rPr>
      </w:pPr>
      <w:proofErr w:type="spellStart"/>
      <w:r w:rsidRPr="00490651">
        <w:rPr>
          <w:rFonts w:ascii="Calibri" w:hAnsi="Calibri" w:cs="Arial"/>
          <w:b/>
          <w:bCs/>
          <w:sz w:val="22"/>
          <w:szCs w:val="22"/>
          <w:lang w:eastAsia="ar-SA"/>
        </w:rPr>
        <w:t>eTable</w:t>
      </w:r>
      <w:proofErr w:type="spellEnd"/>
      <w:r w:rsidRPr="00490651">
        <w:rPr>
          <w:rFonts w:ascii="Calibri" w:hAnsi="Calibri" w:cs="Arial"/>
          <w:b/>
          <w:bCs/>
          <w:sz w:val="22"/>
          <w:szCs w:val="22"/>
          <w:lang w:eastAsia="ar-SA"/>
        </w:rPr>
        <w:t xml:space="preserve"> 3</w:t>
      </w:r>
      <w:r w:rsidR="009032FB" w:rsidRPr="00490651">
        <w:rPr>
          <w:rFonts w:ascii="Calibri" w:hAnsi="Calibri" w:cs="Arial"/>
          <w:b/>
          <w:bCs/>
          <w:sz w:val="22"/>
          <w:szCs w:val="22"/>
          <w:lang w:eastAsia="ar-SA"/>
        </w:rPr>
        <w:t xml:space="preserve">. </w:t>
      </w:r>
      <w:r w:rsidR="009032FB" w:rsidRPr="00490651">
        <w:rPr>
          <w:rFonts w:ascii="Calibri" w:hAnsi="Calibri" w:cs="Arial"/>
          <w:sz w:val="22"/>
          <w:szCs w:val="22"/>
          <w:lang w:eastAsia="ar-SA"/>
        </w:rPr>
        <w:t xml:space="preserve">Prevalence of PPGL, HNPGL, bilateral disease and malignant disease in </w:t>
      </w:r>
      <w:r w:rsidR="009032FB" w:rsidRPr="00490651">
        <w:rPr>
          <w:rFonts w:ascii="Calibri" w:hAnsi="Calibri" w:cs="Arial"/>
          <w:i/>
          <w:sz w:val="22"/>
          <w:szCs w:val="22"/>
          <w:lang w:eastAsia="ar-SA"/>
        </w:rPr>
        <w:t>SDHB</w:t>
      </w:r>
      <w:r w:rsidR="009032FB" w:rsidRPr="00490651">
        <w:rPr>
          <w:rFonts w:ascii="Calibri" w:hAnsi="Calibri" w:cs="Arial"/>
          <w:sz w:val="22"/>
          <w:szCs w:val="22"/>
          <w:lang w:eastAsia="ar-SA"/>
        </w:rPr>
        <w:t xml:space="preserve">, </w:t>
      </w:r>
      <w:r w:rsidR="009032FB" w:rsidRPr="00490651">
        <w:rPr>
          <w:rFonts w:ascii="Calibri" w:hAnsi="Calibri" w:cs="Arial"/>
          <w:i/>
          <w:sz w:val="22"/>
          <w:szCs w:val="22"/>
          <w:lang w:eastAsia="ar-SA"/>
        </w:rPr>
        <w:t>SDHC</w:t>
      </w:r>
      <w:r w:rsidR="009032FB" w:rsidRPr="00490651">
        <w:rPr>
          <w:rFonts w:ascii="Calibri" w:hAnsi="Calibri" w:cs="Arial"/>
          <w:sz w:val="22"/>
          <w:szCs w:val="22"/>
          <w:lang w:eastAsia="ar-SA"/>
        </w:rPr>
        <w:t xml:space="preserve">, and </w:t>
      </w:r>
      <w:r w:rsidR="009032FB" w:rsidRPr="00490651">
        <w:rPr>
          <w:rFonts w:ascii="Calibri" w:hAnsi="Calibri" w:cs="Arial"/>
          <w:i/>
          <w:sz w:val="22"/>
          <w:szCs w:val="22"/>
          <w:lang w:eastAsia="ar-SA"/>
        </w:rPr>
        <w:t>SDHD</w:t>
      </w:r>
      <w:r w:rsidR="009032FB" w:rsidRPr="00490651">
        <w:rPr>
          <w:rFonts w:ascii="Calibri" w:hAnsi="Calibri" w:cs="Arial"/>
          <w:sz w:val="22"/>
          <w:szCs w:val="22"/>
          <w:lang w:eastAsia="ar-SA"/>
        </w:rPr>
        <w:t xml:space="preserve"> mutation carriers for whom detailed clinical information is available.</w:t>
      </w:r>
      <w:r w:rsidR="009032FB" w:rsidRPr="00750489">
        <w:rPr>
          <w:rFonts w:ascii="Calibri" w:hAnsi="Calibri" w:cs="Arial"/>
          <w:b/>
          <w:sz w:val="22"/>
          <w:szCs w:val="22"/>
          <w:lang w:eastAsia="ar-SA"/>
        </w:rPr>
        <w:t xml:space="preserve"> </w:t>
      </w:r>
    </w:p>
    <w:p w14:paraId="3CA854D0" w14:textId="77777777" w:rsidR="002D5A20" w:rsidRPr="00750489" w:rsidRDefault="002D5A20" w:rsidP="009032FB">
      <w:pPr>
        <w:rPr>
          <w:rFonts w:ascii="Calibri" w:hAnsi="Calibri" w:cs="Arial"/>
          <w:b/>
        </w:rPr>
      </w:pPr>
    </w:p>
    <w:tbl>
      <w:tblPr>
        <w:tblStyle w:val="LightList"/>
        <w:tblW w:w="0" w:type="auto"/>
        <w:tblLayout w:type="fixed"/>
        <w:tblLook w:val="0000" w:firstRow="0" w:lastRow="0" w:firstColumn="0" w:lastColumn="0" w:noHBand="0" w:noVBand="0"/>
      </w:tblPr>
      <w:tblGrid>
        <w:gridCol w:w="3434"/>
        <w:gridCol w:w="1962"/>
        <w:gridCol w:w="1834"/>
        <w:gridCol w:w="1797"/>
      </w:tblGrid>
      <w:tr w:rsidR="009032FB" w:rsidRPr="00750489" w14:paraId="32D3CDE2" w14:textId="77777777" w:rsidTr="00163A52">
        <w:trPr>
          <w:cnfStyle w:val="000000100000" w:firstRow="0" w:lastRow="0" w:firstColumn="0" w:lastColumn="0" w:oddVBand="0" w:evenVBand="0" w:oddHBand="1" w:evenHBand="0"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3434" w:type="dxa"/>
          </w:tcPr>
          <w:p w14:paraId="6327E15B" w14:textId="77777777" w:rsidR="009032FB" w:rsidRPr="00750489" w:rsidRDefault="009032FB" w:rsidP="009032FB">
            <w:pPr>
              <w:widowControl/>
              <w:suppressAutoHyphens w:val="0"/>
              <w:snapToGrid w:val="0"/>
              <w:rPr>
                <w:rFonts w:ascii="Calibri" w:hAnsi="Calibri" w:cs="Arial"/>
              </w:rPr>
            </w:pPr>
          </w:p>
        </w:tc>
        <w:tc>
          <w:tcPr>
            <w:tcW w:w="1962" w:type="dxa"/>
          </w:tcPr>
          <w:p w14:paraId="0BFD58E2" w14:textId="77777777" w:rsidR="009032FB" w:rsidRPr="00750489" w:rsidRDefault="009032FB" w:rsidP="009032FB">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s="Arial"/>
                <w:b/>
                <w:bCs/>
                <w:lang w:eastAsia="ar-SA"/>
              </w:rPr>
            </w:pPr>
            <w:r w:rsidRPr="00750489">
              <w:rPr>
                <w:rFonts w:ascii="Calibri" w:hAnsi="Calibri" w:cs="Arial"/>
                <w:b/>
                <w:bCs/>
                <w:lang w:eastAsia="ar-SA"/>
              </w:rPr>
              <w:t>SDHB</w:t>
            </w:r>
          </w:p>
        </w:tc>
        <w:tc>
          <w:tcPr>
            <w:cnfStyle w:val="000010000000" w:firstRow="0" w:lastRow="0" w:firstColumn="0" w:lastColumn="0" w:oddVBand="1" w:evenVBand="0" w:oddHBand="0" w:evenHBand="0" w:firstRowFirstColumn="0" w:firstRowLastColumn="0" w:lastRowFirstColumn="0" w:lastRowLastColumn="0"/>
            <w:tcW w:w="1834" w:type="dxa"/>
          </w:tcPr>
          <w:p w14:paraId="114798CA" w14:textId="77777777" w:rsidR="009032FB" w:rsidRPr="00750489" w:rsidRDefault="009032FB" w:rsidP="009032FB">
            <w:pPr>
              <w:widowControl/>
              <w:suppressAutoHyphens w:val="0"/>
              <w:rPr>
                <w:rFonts w:ascii="Calibri" w:hAnsi="Calibri" w:cs="Arial"/>
                <w:b/>
                <w:bCs/>
                <w:lang w:eastAsia="ar-SA"/>
              </w:rPr>
            </w:pPr>
            <w:r w:rsidRPr="00750489">
              <w:rPr>
                <w:rFonts w:ascii="Calibri" w:hAnsi="Calibri" w:cs="Arial"/>
                <w:b/>
                <w:bCs/>
                <w:lang w:eastAsia="ar-SA"/>
              </w:rPr>
              <w:t>SDHC</w:t>
            </w:r>
          </w:p>
        </w:tc>
        <w:tc>
          <w:tcPr>
            <w:tcW w:w="1797" w:type="dxa"/>
          </w:tcPr>
          <w:p w14:paraId="02BD4A30" w14:textId="77777777" w:rsidR="009032FB" w:rsidRPr="00750489" w:rsidRDefault="009032FB" w:rsidP="009032FB">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50489">
              <w:rPr>
                <w:rFonts w:ascii="Calibri" w:hAnsi="Calibri" w:cs="Arial"/>
                <w:b/>
                <w:bCs/>
                <w:lang w:eastAsia="ar-SA"/>
              </w:rPr>
              <w:t>SDHD</w:t>
            </w:r>
          </w:p>
        </w:tc>
      </w:tr>
      <w:tr w:rsidR="009032FB" w:rsidRPr="00750489" w14:paraId="53A7E87B" w14:textId="77777777" w:rsidTr="00163A52">
        <w:trPr>
          <w:trHeight w:val="262"/>
        </w:trPr>
        <w:tc>
          <w:tcPr>
            <w:cnfStyle w:val="000010000000" w:firstRow="0" w:lastRow="0" w:firstColumn="0" w:lastColumn="0" w:oddVBand="1" w:evenVBand="0" w:oddHBand="0" w:evenHBand="0" w:firstRowFirstColumn="0" w:firstRowLastColumn="0" w:lastRowFirstColumn="0" w:lastRowLastColumn="0"/>
            <w:tcW w:w="3434" w:type="dxa"/>
          </w:tcPr>
          <w:p w14:paraId="028E24A9" w14:textId="77777777" w:rsidR="009032FB" w:rsidRPr="00750489" w:rsidRDefault="009032FB" w:rsidP="009032FB">
            <w:pPr>
              <w:widowControl/>
              <w:suppressAutoHyphens w:val="0"/>
              <w:rPr>
                <w:rFonts w:ascii="Calibri" w:hAnsi="Calibri" w:cs="Arial"/>
                <w:lang w:eastAsia="ar-SA"/>
              </w:rPr>
            </w:pPr>
            <w:r w:rsidRPr="00750489">
              <w:rPr>
                <w:rFonts w:ascii="Calibri" w:hAnsi="Calibri" w:cs="Arial"/>
                <w:b/>
                <w:bCs/>
                <w:lang w:eastAsia="ar-SA"/>
              </w:rPr>
              <w:t xml:space="preserve">PPGL </w:t>
            </w:r>
          </w:p>
        </w:tc>
        <w:tc>
          <w:tcPr>
            <w:tcW w:w="1962" w:type="dxa"/>
          </w:tcPr>
          <w:p w14:paraId="22210B70" w14:textId="1E51A459" w:rsidR="009032FB" w:rsidRPr="00750489" w:rsidRDefault="00991F03" w:rsidP="00490651">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s="Arial"/>
                <w:lang w:eastAsia="ar-SA"/>
              </w:rPr>
            </w:pPr>
            <w:r w:rsidRPr="00750489">
              <w:rPr>
                <w:rFonts w:ascii="Calibri" w:hAnsi="Calibri" w:cs="Arial"/>
                <w:lang w:eastAsia="ar-SA"/>
              </w:rPr>
              <w:t>19</w:t>
            </w:r>
            <w:r w:rsidR="00490651">
              <w:rPr>
                <w:rFonts w:ascii="Calibri" w:hAnsi="Calibri" w:cs="Arial"/>
                <w:lang w:eastAsia="ar-SA"/>
              </w:rPr>
              <w:t>1</w:t>
            </w:r>
            <w:r w:rsidRPr="00750489">
              <w:rPr>
                <w:rFonts w:ascii="Calibri" w:hAnsi="Calibri" w:cs="Arial"/>
                <w:lang w:eastAsia="ar-SA"/>
              </w:rPr>
              <w:t xml:space="preserve"> </w:t>
            </w:r>
            <w:r w:rsidR="009032FB" w:rsidRPr="00750489">
              <w:rPr>
                <w:rFonts w:ascii="Calibri" w:hAnsi="Calibri" w:cs="Arial"/>
                <w:lang w:eastAsia="ar-SA"/>
              </w:rPr>
              <w:t xml:space="preserve">/ </w:t>
            </w:r>
            <w:r w:rsidR="00A24E7A" w:rsidRPr="00750489">
              <w:rPr>
                <w:rFonts w:ascii="Calibri" w:hAnsi="Calibri" w:cs="Arial"/>
                <w:lang w:eastAsia="ar-SA"/>
              </w:rPr>
              <w:t>58</w:t>
            </w:r>
            <w:r w:rsidR="00490651">
              <w:rPr>
                <w:rFonts w:ascii="Calibri" w:hAnsi="Calibri" w:cs="Arial"/>
                <w:lang w:eastAsia="ar-SA"/>
              </w:rPr>
              <w:t>4</w:t>
            </w:r>
            <w:r w:rsidR="00A24E7A" w:rsidRPr="00750489">
              <w:rPr>
                <w:rFonts w:ascii="Calibri" w:hAnsi="Calibri" w:cs="Arial"/>
                <w:lang w:eastAsia="ar-SA"/>
              </w:rPr>
              <w:t xml:space="preserve"> </w:t>
            </w:r>
            <w:r w:rsidR="009032FB" w:rsidRPr="00750489">
              <w:rPr>
                <w:rFonts w:ascii="Calibri" w:hAnsi="Calibri" w:cs="Arial"/>
                <w:lang w:eastAsia="ar-SA"/>
              </w:rPr>
              <w:t>(</w:t>
            </w:r>
            <w:r w:rsidRPr="00750489">
              <w:rPr>
                <w:rFonts w:ascii="Calibri" w:hAnsi="Calibri" w:cs="Arial"/>
                <w:lang w:eastAsia="ar-SA"/>
              </w:rPr>
              <w:t>33</w:t>
            </w:r>
            <w:r w:rsidR="009032FB" w:rsidRPr="00750489">
              <w:rPr>
                <w:rFonts w:ascii="Calibri" w:hAnsi="Calibri" w:cs="Arial"/>
                <w:lang w:eastAsia="ar-SA"/>
              </w:rPr>
              <w:t>%)</w:t>
            </w:r>
          </w:p>
        </w:tc>
        <w:tc>
          <w:tcPr>
            <w:cnfStyle w:val="000010000000" w:firstRow="0" w:lastRow="0" w:firstColumn="0" w:lastColumn="0" w:oddVBand="1" w:evenVBand="0" w:oddHBand="0" w:evenHBand="0" w:firstRowFirstColumn="0" w:firstRowLastColumn="0" w:lastRowFirstColumn="0" w:lastRowLastColumn="0"/>
            <w:tcW w:w="1834" w:type="dxa"/>
          </w:tcPr>
          <w:p w14:paraId="68C08953" w14:textId="6182A12F" w:rsidR="009032FB" w:rsidRPr="00750489" w:rsidRDefault="00991F03" w:rsidP="00991F03">
            <w:pPr>
              <w:widowControl/>
              <w:suppressAutoHyphens w:val="0"/>
              <w:rPr>
                <w:rFonts w:ascii="Calibri" w:hAnsi="Calibri" w:cs="Arial"/>
                <w:lang w:eastAsia="ar-SA"/>
              </w:rPr>
            </w:pPr>
            <w:r w:rsidRPr="00750489">
              <w:rPr>
                <w:rFonts w:ascii="Calibri" w:hAnsi="Calibri" w:cs="Arial"/>
                <w:lang w:eastAsia="ar-SA"/>
              </w:rPr>
              <w:t>4</w:t>
            </w:r>
            <w:r w:rsidR="009032FB" w:rsidRPr="00750489">
              <w:rPr>
                <w:rFonts w:ascii="Calibri" w:hAnsi="Calibri" w:cs="Arial"/>
                <w:lang w:eastAsia="ar-SA"/>
              </w:rPr>
              <w:t xml:space="preserve"> / </w:t>
            </w:r>
            <w:r w:rsidR="002D5A20" w:rsidRPr="00750489">
              <w:rPr>
                <w:rFonts w:ascii="Calibri" w:hAnsi="Calibri" w:cs="Arial"/>
                <w:lang w:eastAsia="ar-SA"/>
              </w:rPr>
              <w:t>33</w:t>
            </w:r>
            <w:r w:rsidR="009032FB" w:rsidRPr="00750489">
              <w:rPr>
                <w:rFonts w:ascii="Calibri" w:hAnsi="Calibri" w:cs="Arial"/>
                <w:lang w:eastAsia="ar-SA"/>
              </w:rPr>
              <w:t xml:space="preserve"> (</w:t>
            </w:r>
            <w:r w:rsidRPr="00750489">
              <w:rPr>
                <w:rFonts w:ascii="Calibri" w:hAnsi="Calibri" w:cs="Arial"/>
                <w:lang w:eastAsia="ar-SA"/>
              </w:rPr>
              <w:t>12</w:t>
            </w:r>
            <w:r w:rsidR="009032FB" w:rsidRPr="00750489">
              <w:rPr>
                <w:rFonts w:ascii="Calibri" w:hAnsi="Calibri" w:cs="Arial"/>
                <w:lang w:eastAsia="ar-SA"/>
              </w:rPr>
              <w:t>%)</w:t>
            </w:r>
          </w:p>
        </w:tc>
        <w:tc>
          <w:tcPr>
            <w:tcW w:w="1797" w:type="dxa"/>
          </w:tcPr>
          <w:p w14:paraId="3D612A7E" w14:textId="45472B11" w:rsidR="009032FB" w:rsidRPr="00750489" w:rsidRDefault="00991F03" w:rsidP="00991F03">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50489">
              <w:rPr>
                <w:rFonts w:ascii="Calibri" w:hAnsi="Calibri" w:cs="Arial"/>
                <w:lang w:eastAsia="ar-SA"/>
              </w:rPr>
              <w:t xml:space="preserve">23 </w:t>
            </w:r>
            <w:r w:rsidR="009032FB" w:rsidRPr="00750489">
              <w:rPr>
                <w:rFonts w:ascii="Calibri" w:hAnsi="Calibri" w:cs="Arial"/>
                <w:lang w:eastAsia="ar-SA"/>
              </w:rPr>
              <w:t xml:space="preserve">/ </w:t>
            </w:r>
            <w:r w:rsidR="00A24E7A" w:rsidRPr="00750489">
              <w:rPr>
                <w:rFonts w:ascii="Calibri" w:hAnsi="Calibri" w:cs="Arial"/>
                <w:lang w:eastAsia="ar-SA"/>
              </w:rPr>
              <w:t>134</w:t>
            </w:r>
            <w:r w:rsidR="009032FB" w:rsidRPr="00750489">
              <w:rPr>
                <w:rFonts w:ascii="Calibri" w:hAnsi="Calibri" w:cs="Arial"/>
                <w:lang w:eastAsia="ar-SA"/>
              </w:rPr>
              <w:t xml:space="preserve"> (</w:t>
            </w:r>
            <w:r w:rsidRPr="00750489">
              <w:rPr>
                <w:rFonts w:ascii="Calibri" w:hAnsi="Calibri" w:cs="Arial"/>
                <w:lang w:eastAsia="ar-SA"/>
              </w:rPr>
              <w:t>17</w:t>
            </w:r>
            <w:r w:rsidR="009032FB" w:rsidRPr="00750489">
              <w:rPr>
                <w:rFonts w:ascii="Calibri" w:hAnsi="Calibri" w:cs="Arial"/>
                <w:lang w:eastAsia="ar-SA"/>
              </w:rPr>
              <w:t>%)</w:t>
            </w:r>
          </w:p>
        </w:tc>
      </w:tr>
      <w:tr w:rsidR="009032FB" w:rsidRPr="00750489" w14:paraId="1977C1C7" w14:textId="77777777" w:rsidTr="00163A52">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3434" w:type="dxa"/>
          </w:tcPr>
          <w:p w14:paraId="6B8EA62D" w14:textId="77777777" w:rsidR="009032FB" w:rsidRPr="00750489" w:rsidRDefault="009032FB" w:rsidP="009032FB">
            <w:pPr>
              <w:widowControl/>
              <w:suppressAutoHyphens w:val="0"/>
              <w:rPr>
                <w:rFonts w:ascii="Calibri" w:hAnsi="Calibri" w:cs="Arial"/>
                <w:lang w:eastAsia="ar-SA"/>
              </w:rPr>
            </w:pPr>
            <w:r w:rsidRPr="00750489">
              <w:rPr>
                <w:rFonts w:ascii="Calibri" w:hAnsi="Calibri" w:cs="Arial"/>
                <w:b/>
                <w:bCs/>
                <w:lang w:eastAsia="ar-SA"/>
              </w:rPr>
              <w:t xml:space="preserve">  Median age diagnosis</w:t>
            </w:r>
          </w:p>
        </w:tc>
        <w:tc>
          <w:tcPr>
            <w:tcW w:w="1962" w:type="dxa"/>
          </w:tcPr>
          <w:p w14:paraId="5A89F0FA" w14:textId="3D1AA108" w:rsidR="009032FB" w:rsidRPr="00750489" w:rsidRDefault="00991F03" w:rsidP="009032FB">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s="Arial"/>
                <w:lang w:eastAsia="ar-SA"/>
              </w:rPr>
            </w:pPr>
            <w:r w:rsidRPr="00750489">
              <w:rPr>
                <w:rFonts w:ascii="Calibri" w:hAnsi="Calibri" w:cs="Arial"/>
                <w:lang w:eastAsia="ar-SA"/>
              </w:rPr>
              <w:t>3</w:t>
            </w:r>
            <w:r w:rsidR="00490651">
              <w:rPr>
                <w:rFonts w:ascii="Calibri" w:hAnsi="Calibri" w:cs="Arial"/>
                <w:lang w:eastAsia="ar-SA"/>
              </w:rPr>
              <w:t>2</w:t>
            </w:r>
          </w:p>
        </w:tc>
        <w:tc>
          <w:tcPr>
            <w:cnfStyle w:val="000010000000" w:firstRow="0" w:lastRow="0" w:firstColumn="0" w:lastColumn="0" w:oddVBand="1" w:evenVBand="0" w:oddHBand="0" w:evenHBand="0" w:firstRowFirstColumn="0" w:firstRowLastColumn="0" w:lastRowFirstColumn="0" w:lastRowLastColumn="0"/>
            <w:tcW w:w="1834" w:type="dxa"/>
          </w:tcPr>
          <w:p w14:paraId="78EE7E8F" w14:textId="3E85CF52" w:rsidR="009032FB" w:rsidRPr="00750489" w:rsidRDefault="00991F03" w:rsidP="009032FB">
            <w:pPr>
              <w:widowControl/>
              <w:suppressAutoHyphens w:val="0"/>
              <w:rPr>
                <w:rFonts w:ascii="Calibri" w:hAnsi="Calibri" w:cs="Arial"/>
                <w:lang w:eastAsia="ar-SA"/>
              </w:rPr>
            </w:pPr>
            <w:r w:rsidRPr="00750489">
              <w:rPr>
                <w:rFonts w:ascii="Calibri" w:hAnsi="Calibri" w:cs="Arial"/>
                <w:lang w:eastAsia="ar-SA"/>
              </w:rPr>
              <w:t>37</w:t>
            </w:r>
          </w:p>
        </w:tc>
        <w:tc>
          <w:tcPr>
            <w:tcW w:w="1797" w:type="dxa"/>
          </w:tcPr>
          <w:p w14:paraId="707A28AF" w14:textId="2E6F6431" w:rsidR="009032FB" w:rsidRPr="00750489" w:rsidRDefault="00991F03" w:rsidP="009032FB">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50489">
              <w:rPr>
                <w:rFonts w:ascii="Calibri" w:hAnsi="Calibri" w:cs="Arial"/>
                <w:lang w:eastAsia="ar-SA"/>
              </w:rPr>
              <w:t>23</w:t>
            </w:r>
          </w:p>
        </w:tc>
      </w:tr>
      <w:tr w:rsidR="009032FB" w:rsidRPr="00750489" w14:paraId="266B559B" w14:textId="77777777" w:rsidTr="00163A52">
        <w:trPr>
          <w:trHeight w:val="262"/>
        </w:trPr>
        <w:tc>
          <w:tcPr>
            <w:cnfStyle w:val="000010000000" w:firstRow="0" w:lastRow="0" w:firstColumn="0" w:lastColumn="0" w:oddVBand="1" w:evenVBand="0" w:oddHBand="0" w:evenHBand="0" w:firstRowFirstColumn="0" w:firstRowLastColumn="0" w:lastRowFirstColumn="0" w:lastRowLastColumn="0"/>
            <w:tcW w:w="3434" w:type="dxa"/>
          </w:tcPr>
          <w:p w14:paraId="2251C10B" w14:textId="77777777" w:rsidR="009032FB" w:rsidRPr="00750489" w:rsidRDefault="009032FB" w:rsidP="009032FB">
            <w:pPr>
              <w:widowControl/>
              <w:suppressAutoHyphens w:val="0"/>
              <w:rPr>
                <w:rFonts w:ascii="Calibri" w:hAnsi="Calibri" w:cs="Arial"/>
                <w:lang w:eastAsia="ar-SA"/>
              </w:rPr>
            </w:pPr>
            <w:r w:rsidRPr="00750489">
              <w:rPr>
                <w:rFonts w:ascii="Calibri" w:hAnsi="Calibri" w:cs="Arial"/>
                <w:b/>
                <w:bCs/>
                <w:lang w:eastAsia="ar-SA"/>
              </w:rPr>
              <w:t>HNPGL</w:t>
            </w:r>
          </w:p>
        </w:tc>
        <w:tc>
          <w:tcPr>
            <w:tcW w:w="1962" w:type="dxa"/>
          </w:tcPr>
          <w:p w14:paraId="35677CFE" w14:textId="41A07A4F" w:rsidR="009032FB" w:rsidRPr="00750489" w:rsidRDefault="00991F03" w:rsidP="00991F03">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s="Arial"/>
                <w:lang w:eastAsia="ar-SA"/>
              </w:rPr>
            </w:pPr>
            <w:r w:rsidRPr="00750489">
              <w:rPr>
                <w:rFonts w:ascii="Calibri" w:hAnsi="Calibri" w:cs="Arial"/>
                <w:lang w:eastAsia="ar-SA"/>
              </w:rPr>
              <w:t>80</w:t>
            </w:r>
            <w:r w:rsidR="009032FB" w:rsidRPr="00750489">
              <w:rPr>
                <w:rFonts w:ascii="Calibri" w:hAnsi="Calibri" w:cs="Arial"/>
                <w:lang w:eastAsia="ar-SA"/>
              </w:rPr>
              <w:t xml:space="preserve"> / </w:t>
            </w:r>
            <w:r w:rsidR="00A24E7A" w:rsidRPr="00750489">
              <w:rPr>
                <w:rFonts w:ascii="Calibri" w:hAnsi="Calibri" w:cs="Arial"/>
                <w:lang w:eastAsia="ar-SA"/>
              </w:rPr>
              <w:t>58</w:t>
            </w:r>
            <w:r w:rsidR="00490651">
              <w:rPr>
                <w:rFonts w:ascii="Calibri" w:hAnsi="Calibri" w:cs="Arial"/>
                <w:lang w:eastAsia="ar-SA"/>
              </w:rPr>
              <w:t>4</w:t>
            </w:r>
            <w:r w:rsidR="00A24E7A" w:rsidRPr="00750489">
              <w:rPr>
                <w:rFonts w:ascii="Calibri" w:hAnsi="Calibri" w:cs="Arial"/>
                <w:lang w:eastAsia="ar-SA"/>
              </w:rPr>
              <w:t xml:space="preserve"> </w:t>
            </w:r>
            <w:r w:rsidR="009032FB" w:rsidRPr="00750489">
              <w:rPr>
                <w:rFonts w:ascii="Calibri" w:hAnsi="Calibri" w:cs="Arial"/>
                <w:lang w:eastAsia="ar-SA"/>
              </w:rPr>
              <w:t>(</w:t>
            </w:r>
            <w:r w:rsidRPr="00750489">
              <w:rPr>
                <w:rFonts w:ascii="Calibri" w:hAnsi="Calibri" w:cs="Arial"/>
                <w:lang w:eastAsia="ar-SA"/>
              </w:rPr>
              <w:t>14</w:t>
            </w:r>
            <w:r w:rsidR="009032FB" w:rsidRPr="00750489">
              <w:rPr>
                <w:rFonts w:ascii="Calibri" w:hAnsi="Calibri" w:cs="Arial"/>
                <w:lang w:eastAsia="ar-SA"/>
              </w:rPr>
              <w:t>%)</w:t>
            </w:r>
          </w:p>
        </w:tc>
        <w:tc>
          <w:tcPr>
            <w:cnfStyle w:val="000010000000" w:firstRow="0" w:lastRow="0" w:firstColumn="0" w:lastColumn="0" w:oddVBand="1" w:evenVBand="0" w:oddHBand="0" w:evenHBand="0" w:firstRowFirstColumn="0" w:firstRowLastColumn="0" w:lastRowFirstColumn="0" w:lastRowLastColumn="0"/>
            <w:tcW w:w="1834" w:type="dxa"/>
          </w:tcPr>
          <w:p w14:paraId="5E32E660" w14:textId="2859E13E" w:rsidR="009032FB" w:rsidRPr="00750489" w:rsidRDefault="00991F03" w:rsidP="00991F03">
            <w:pPr>
              <w:widowControl/>
              <w:suppressAutoHyphens w:val="0"/>
              <w:rPr>
                <w:rFonts w:ascii="Calibri" w:hAnsi="Calibri" w:cs="Arial"/>
                <w:lang w:eastAsia="ar-SA"/>
              </w:rPr>
            </w:pPr>
            <w:r w:rsidRPr="00750489">
              <w:rPr>
                <w:rFonts w:ascii="Calibri" w:hAnsi="Calibri" w:cs="Arial"/>
                <w:lang w:eastAsia="ar-SA"/>
              </w:rPr>
              <w:t>16</w:t>
            </w:r>
            <w:r w:rsidR="009032FB" w:rsidRPr="00750489">
              <w:rPr>
                <w:rFonts w:ascii="Calibri" w:hAnsi="Calibri" w:cs="Arial"/>
                <w:lang w:eastAsia="ar-SA"/>
              </w:rPr>
              <w:t xml:space="preserve"> / </w:t>
            </w:r>
            <w:r w:rsidR="002D5A20" w:rsidRPr="00750489">
              <w:rPr>
                <w:rFonts w:ascii="Calibri" w:hAnsi="Calibri" w:cs="Arial"/>
                <w:lang w:eastAsia="ar-SA"/>
              </w:rPr>
              <w:t>33</w:t>
            </w:r>
            <w:r w:rsidR="009032FB" w:rsidRPr="00750489">
              <w:rPr>
                <w:rFonts w:ascii="Calibri" w:hAnsi="Calibri" w:cs="Arial"/>
                <w:lang w:eastAsia="ar-SA"/>
              </w:rPr>
              <w:t xml:space="preserve"> (</w:t>
            </w:r>
            <w:r w:rsidRPr="00750489">
              <w:rPr>
                <w:rFonts w:ascii="Calibri" w:hAnsi="Calibri" w:cs="Arial"/>
                <w:lang w:eastAsia="ar-SA"/>
              </w:rPr>
              <w:t>48</w:t>
            </w:r>
            <w:r w:rsidR="009032FB" w:rsidRPr="00750489">
              <w:rPr>
                <w:rFonts w:ascii="Calibri" w:hAnsi="Calibri" w:cs="Arial"/>
                <w:lang w:eastAsia="ar-SA"/>
              </w:rPr>
              <w:t>%)</w:t>
            </w:r>
          </w:p>
        </w:tc>
        <w:tc>
          <w:tcPr>
            <w:tcW w:w="1797" w:type="dxa"/>
          </w:tcPr>
          <w:p w14:paraId="61BCE35D" w14:textId="649E95B7" w:rsidR="009032FB" w:rsidRPr="00750489" w:rsidRDefault="00991F03" w:rsidP="00991F03">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50489">
              <w:rPr>
                <w:rFonts w:ascii="Calibri" w:hAnsi="Calibri" w:cs="Arial"/>
                <w:lang w:eastAsia="ar-SA"/>
              </w:rPr>
              <w:t xml:space="preserve">78 </w:t>
            </w:r>
            <w:r w:rsidR="009032FB" w:rsidRPr="00750489">
              <w:rPr>
                <w:rFonts w:ascii="Calibri" w:hAnsi="Calibri" w:cs="Arial"/>
                <w:lang w:eastAsia="ar-SA"/>
              </w:rPr>
              <w:t xml:space="preserve">/ </w:t>
            </w:r>
            <w:r w:rsidR="00A24E7A" w:rsidRPr="00750489">
              <w:rPr>
                <w:rFonts w:ascii="Calibri" w:hAnsi="Calibri" w:cs="Arial"/>
                <w:lang w:eastAsia="ar-SA"/>
              </w:rPr>
              <w:t xml:space="preserve">134 </w:t>
            </w:r>
            <w:r w:rsidR="009032FB" w:rsidRPr="00750489">
              <w:rPr>
                <w:rFonts w:ascii="Calibri" w:hAnsi="Calibri" w:cs="Arial"/>
                <w:lang w:eastAsia="ar-SA"/>
              </w:rPr>
              <w:t>(</w:t>
            </w:r>
            <w:r w:rsidRPr="00750489">
              <w:rPr>
                <w:rFonts w:ascii="Calibri" w:hAnsi="Calibri" w:cs="Arial"/>
                <w:lang w:eastAsia="ar-SA"/>
              </w:rPr>
              <w:t>58</w:t>
            </w:r>
            <w:r w:rsidR="009032FB" w:rsidRPr="00750489">
              <w:rPr>
                <w:rFonts w:ascii="Calibri" w:hAnsi="Calibri" w:cs="Arial"/>
                <w:lang w:eastAsia="ar-SA"/>
              </w:rPr>
              <w:t>%)</w:t>
            </w:r>
          </w:p>
        </w:tc>
      </w:tr>
      <w:tr w:rsidR="009032FB" w:rsidRPr="00750489" w14:paraId="5CFBE0D2" w14:textId="77777777" w:rsidTr="00163A52">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3434" w:type="dxa"/>
          </w:tcPr>
          <w:p w14:paraId="7EBFE795" w14:textId="77777777" w:rsidR="009032FB" w:rsidRPr="00750489" w:rsidRDefault="009032FB" w:rsidP="009032FB">
            <w:pPr>
              <w:widowControl/>
              <w:suppressAutoHyphens w:val="0"/>
              <w:rPr>
                <w:rFonts w:ascii="Calibri" w:hAnsi="Calibri" w:cs="Arial"/>
                <w:lang w:eastAsia="ar-SA"/>
              </w:rPr>
            </w:pPr>
            <w:r w:rsidRPr="00750489">
              <w:rPr>
                <w:rFonts w:ascii="Calibri" w:hAnsi="Calibri" w:cs="Arial"/>
                <w:b/>
                <w:bCs/>
                <w:lang w:eastAsia="ar-SA"/>
              </w:rPr>
              <w:t xml:space="preserve">  Median age diagnosis</w:t>
            </w:r>
          </w:p>
        </w:tc>
        <w:tc>
          <w:tcPr>
            <w:tcW w:w="1962" w:type="dxa"/>
          </w:tcPr>
          <w:p w14:paraId="23243BE3" w14:textId="340F960A" w:rsidR="009032FB" w:rsidRPr="00750489" w:rsidRDefault="00991F03" w:rsidP="009032FB">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s="Arial"/>
                <w:lang w:eastAsia="ar-SA"/>
              </w:rPr>
            </w:pPr>
            <w:r w:rsidRPr="00750489">
              <w:rPr>
                <w:rFonts w:ascii="Calibri" w:hAnsi="Calibri" w:cs="Arial"/>
                <w:lang w:eastAsia="ar-SA"/>
              </w:rPr>
              <w:t>43</w:t>
            </w:r>
          </w:p>
        </w:tc>
        <w:tc>
          <w:tcPr>
            <w:cnfStyle w:val="000010000000" w:firstRow="0" w:lastRow="0" w:firstColumn="0" w:lastColumn="0" w:oddVBand="1" w:evenVBand="0" w:oddHBand="0" w:evenHBand="0" w:firstRowFirstColumn="0" w:firstRowLastColumn="0" w:lastRowFirstColumn="0" w:lastRowLastColumn="0"/>
            <w:tcW w:w="1834" w:type="dxa"/>
          </w:tcPr>
          <w:p w14:paraId="401A3793" w14:textId="54FBBE5F" w:rsidR="009032FB" w:rsidRPr="00750489" w:rsidRDefault="00991F03" w:rsidP="009032FB">
            <w:pPr>
              <w:widowControl/>
              <w:suppressAutoHyphens w:val="0"/>
              <w:rPr>
                <w:rFonts w:ascii="Calibri" w:hAnsi="Calibri" w:cs="Arial"/>
                <w:lang w:eastAsia="ar-SA"/>
              </w:rPr>
            </w:pPr>
            <w:r w:rsidRPr="00750489">
              <w:rPr>
                <w:rFonts w:ascii="Calibri" w:hAnsi="Calibri" w:cs="Arial"/>
                <w:lang w:eastAsia="ar-SA"/>
              </w:rPr>
              <w:t>42</w:t>
            </w:r>
          </w:p>
        </w:tc>
        <w:tc>
          <w:tcPr>
            <w:tcW w:w="1797" w:type="dxa"/>
          </w:tcPr>
          <w:p w14:paraId="48D2E083" w14:textId="58C319F4" w:rsidR="009032FB" w:rsidRPr="00750489" w:rsidRDefault="00991F03" w:rsidP="009032FB">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50489">
              <w:rPr>
                <w:rFonts w:ascii="Calibri" w:hAnsi="Calibri" w:cs="Arial"/>
                <w:lang w:eastAsia="ar-SA"/>
              </w:rPr>
              <w:t>40</w:t>
            </w:r>
          </w:p>
        </w:tc>
      </w:tr>
      <w:tr w:rsidR="009032FB" w:rsidRPr="00750489" w14:paraId="5731B31A" w14:textId="77777777" w:rsidTr="00163A52">
        <w:trPr>
          <w:trHeight w:val="262"/>
        </w:trPr>
        <w:tc>
          <w:tcPr>
            <w:cnfStyle w:val="000010000000" w:firstRow="0" w:lastRow="0" w:firstColumn="0" w:lastColumn="0" w:oddVBand="1" w:evenVBand="0" w:oddHBand="0" w:evenHBand="0" w:firstRowFirstColumn="0" w:firstRowLastColumn="0" w:lastRowFirstColumn="0" w:lastRowLastColumn="0"/>
            <w:tcW w:w="3434" w:type="dxa"/>
          </w:tcPr>
          <w:p w14:paraId="45ECD352" w14:textId="77777777" w:rsidR="009032FB" w:rsidRPr="00750489" w:rsidRDefault="009032FB" w:rsidP="009032FB">
            <w:pPr>
              <w:widowControl/>
              <w:suppressAutoHyphens w:val="0"/>
              <w:rPr>
                <w:rFonts w:ascii="Calibri" w:hAnsi="Calibri" w:cs="Arial"/>
                <w:lang w:eastAsia="ar-SA"/>
              </w:rPr>
            </w:pPr>
            <w:r w:rsidRPr="00750489">
              <w:rPr>
                <w:rFonts w:ascii="Calibri" w:hAnsi="Calibri" w:cs="Arial"/>
                <w:b/>
                <w:bCs/>
                <w:lang w:eastAsia="ar-SA"/>
              </w:rPr>
              <w:t>Bilateral disease</w:t>
            </w:r>
          </w:p>
        </w:tc>
        <w:tc>
          <w:tcPr>
            <w:tcW w:w="1962" w:type="dxa"/>
          </w:tcPr>
          <w:p w14:paraId="2973D45F" w14:textId="266A815D" w:rsidR="009032FB" w:rsidRPr="00750489" w:rsidRDefault="00991F03" w:rsidP="00991F03">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s="Arial"/>
                <w:lang w:eastAsia="ar-SA"/>
              </w:rPr>
            </w:pPr>
            <w:r w:rsidRPr="00750489">
              <w:rPr>
                <w:rFonts w:ascii="Calibri" w:hAnsi="Calibri" w:cs="Arial"/>
                <w:lang w:eastAsia="ar-SA"/>
              </w:rPr>
              <w:t>22</w:t>
            </w:r>
            <w:r w:rsidR="009032FB" w:rsidRPr="00750489">
              <w:rPr>
                <w:rFonts w:ascii="Calibri" w:hAnsi="Calibri" w:cs="Arial"/>
                <w:lang w:eastAsia="ar-SA"/>
              </w:rPr>
              <w:t xml:space="preserve"> / </w:t>
            </w:r>
            <w:r w:rsidR="00A24E7A" w:rsidRPr="00750489">
              <w:rPr>
                <w:rFonts w:ascii="Calibri" w:hAnsi="Calibri" w:cs="Arial"/>
                <w:lang w:eastAsia="ar-SA"/>
              </w:rPr>
              <w:t>58</w:t>
            </w:r>
            <w:r w:rsidR="00490651">
              <w:rPr>
                <w:rFonts w:ascii="Calibri" w:hAnsi="Calibri" w:cs="Arial"/>
                <w:lang w:eastAsia="ar-SA"/>
              </w:rPr>
              <w:t>4</w:t>
            </w:r>
            <w:r w:rsidR="00A24E7A" w:rsidRPr="00750489">
              <w:rPr>
                <w:rFonts w:ascii="Calibri" w:hAnsi="Calibri" w:cs="Arial"/>
                <w:lang w:eastAsia="ar-SA"/>
              </w:rPr>
              <w:t xml:space="preserve"> </w:t>
            </w:r>
            <w:r w:rsidR="009032FB" w:rsidRPr="00750489">
              <w:rPr>
                <w:rFonts w:ascii="Calibri" w:hAnsi="Calibri" w:cs="Arial"/>
                <w:lang w:eastAsia="ar-SA"/>
              </w:rPr>
              <w:t>(</w:t>
            </w:r>
            <w:r w:rsidRPr="00750489">
              <w:rPr>
                <w:rFonts w:ascii="Calibri" w:hAnsi="Calibri" w:cs="Arial"/>
                <w:lang w:eastAsia="ar-SA"/>
              </w:rPr>
              <w:t>3.</w:t>
            </w:r>
            <w:r w:rsidR="00490651">
              <w:rPr>
                <w:rFonts w:ascii="Calibri" w:hAnsi="Calibri" w:cs="Arial"/>
                <w:lang w:eastAsia="ar-SA"/>
              </w:rPr>
              <w:t>8</w:t>
            </w:r>
            <w:r w:rsidR="009032FB" w:rsidRPr="00750489">
              <w:rPr>
                <w:rFonts w:ascii="Calibri" w:hAnsi="Calibri" w:cs="Arial"/>
                <w:lang w:eastAsia="ar-SA"/>
              </w:rPr>
              <w:t>%)</w:t>
            </w:r>
          </w:p>
        </w:tc>
        <w:tc>
          <w:tcPr>
            <w:cnfStyle w:val="000010000000" w:firstRow="0" w:lastRow="0" w:firstColumn="0" w:lastColumn="0" w:oddVBand="1" w:evenVBand="0" w:oddHBand="0" w:evenHBand="0" w:firstRowFirstColumn="0" w:firstRowLastColumn="0" w:lastRowFirstColumn="0" w:lastRowLastColumn="0"/>
            <w:tcW w:w="1834" w:type="dxa"/>
          </w:tcPr>
          <w:p w14:paraId="5BA70359" w14:textId="6E13E83D" w:rsidR="009032FB" w:rsidRPr="00750489" w:rsidRDefault="00991F03" w:rsidP="002D5A20">
            <w:pPr>
              <w:widowControl/>
              <w:suppressAutoHyphens w:val="0"/>
              <w:rPr>
                <w:rFonts w:ascii="Calibri" w:hAnsi="Calibri" w:cs="Arial"/>
                <w:lang w:eastAsia="ar-SA"/>
              </w:rPr>
            </w:pPr>
            <w:r w:rsidRPr="00750489">
              <w:rPr>
                <w:rFonts w:ascii="Calibri" w:hAnsi="Calibri" w:cs="Arial"/>
                <w:lang w:eastAsia="ar-SA"/>
              </w:rPr>
              <w:t>0</w:t>
            </w:r>
            <w:r w:rsidR="009032FB" w:rsidRPr="00750489">
              <w:rPr>
                <w:rFonts w:ascii="Calibri" w:hAnsi="Calibri" w:cs="Arial"/>
                <w:lang w:eastAsia="ar-SA"/>
              </w:rPr>
              <w:t xml:space="preserve"> / </w:t>
            </w:r>
            <w:r w:rsidR="002D5A20" w:rsidRPr="00750489">
              <w:rPr>
                <w:rFonts w:ascii="Calibri" w:hAnsi="Calibri" w:cs="Arial"/>
                <w:lang w:eastAsia="ar-SA"/>
              </w:rPr>
              <w:t>33</w:t>
            </w:r>
            <w:r w:rsidR="009032FB" w:rsidRPr="00750489">
              <w:rPr>
                <w:rFonts w:ascii="Calibri" w:hAnsi="Calibri" w:cs="Arial"/>
                <w:lang w:eastAsia="ar-SA"/>
              </w:rPr>
              <w:t xml:space="preserve"> (0%)</w:t>
            </w:r>
          </w:p>
        </w:tc>
        <w:tc>
          <w:tcPr>
            <w:tcW w:w="1797" w:type="dxa"/>
          </w:tcPr>
          <w:p w14:paraId="31384812" w14:textId="6EBB6D8D" w:rsidR="009032FB" w:rsidRPr="00750489" w:rsidRDefault="00991F03" w:rsidP="00991F03">
            <w:pPr>
              <w:widowControl/>
              <w:suppressAutoHyphens w:val="0"/>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50489">
              <w:rPr>
                <w:rFonts w:ascii="Calibri" w:hAnsi="Calibri" w:cs="Arial"/>
                <w:lang w:eastAsia="ar-SA"/>
              </w:rPr>
              <w:t>45</w:t>
            </w:r>
            <w:r w:rsidR="009032FB" w:rsidRPr="00750489">
              <w:rPr>
                <w:rFonts w:ascii="Calibri" w:hAnsi="Calibri" w:cs="Arial"/>
                <w:lang w:eastAsia="ar-SA"/>
              </w:rPr>
              <w:t xml:space="preserve"> / </w:t>
            </w:r>
            <w:r w:rsidR="00A24E7A" w:rsidRPr="00750489">
              <w:rPr>
                <w:rFonts w:ascii="Calibri" w:hAnsi="Calibri" w:cs="Arial"/>
                <w:lang w:eastAsia="ar-SA"/>
              </w:rPr>
              <w:t xml:space="preserve">134 </w:t>
            </w:r>
            <w:r w:rsidR="009032FB" w:rsidRPr="00750489">
              <w:rPr>
                <w:rFonts w:ascii="Calibri" w:hAnsi="Calibri" w:cs="Arial"/>
                <w:lang w:eastAsia="ar-SA"/>
              </w:rPr>
              <w:t>(</w:t>
            </w:r>
            <w:r w:rsidRPr="00750489">
              <w:rPr>
                <w:rFonts w:ascii="Calibri" w:hAnsi="Calibri" w:cs="Arial"/>
                <w:lang w:eastAsia="ar-SA"/>
              </w:rPr>
              <w:t>34</w:t>
            </w:r>
            <w:r w:rsidR="009032FB" w:rsidRPr="00750489">
              <w:rPr>
                <w:rFonts w:ascii="Calibri" w:hAnsi="Calibri" w:cs="Arial"/>
                <w:lang w:eastAsia="ar-SA"/>
              </w:rPr>
              <w:t>%)</w:t>
            </w:r>
          </w:p>
        </w:tc>
      </w:tr>
      <w:tr w:rsidR="009032FB" w:rsidRPr="00750489" w14:paraId="02FABD66" w14:textId="77777777" w:rsidTr="00163A52">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3434" w:type="dxa"/>
          </w:tcPr>
          <w:p w14:paraId="28B0E11C" w14:textId="77777777" w:rsidR="009032FB" w:rsidRPr="00750489" w:rsidRDefault="009032FB" w:rsidP="009032FB">
            <w:pPr>
              <w:widowControl/>
              <w:suppressAutoHyphens w:val="0"/>
              <w:rPr>
                <w:rFonts w:ascii="Calibri" w:hAnsi="Calibri" w:cs="Arial"/>
                <w:lang w:eastAsia="ar-SA"/>
              </w:rPr>
            </w:pPr>
            <w:r w:rsidRPr="00750489">
              <w:rPr>
                <w:rFonts w:ascii="Calibri" w:hAnsi="Calibri" w:cs="Arial"/>
                <w:b/>
                <w:bCs/>
                <w:lang w:eastAsia="ar-SA"/>
              </w:rPr>
              <w:t>Malignant disease</w:t>
            </w:r>
          </w:p>
        </w:tc>
        <w:tc>
          <w:tcPr>
            <w:tcW w:w="1962" w:type="dxa"/>
          </w:tcPr>
          <w:p w14:paraId="24B8C1E5" w14:textId="5EF19A8F" w:rsidR="009032FB" w:rsidRPr="00750489" w:rsidRDefault="00991F03" w:rsidP="00991F03">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s="Arial"/>
                <w:lang w:eastAsia="ar-SA"/>
              </w:rPr>
            </w:pPr>
            <w:r w:rsidRPr="00750489">
              <w:rPr>
                <w:rFonts w:ascii="Calibri" w:hAnsi="Calibri" w:cs="Arial"/>
                <w:lang w:eastAsia="ar-SA"/>
              </w:rPr>
              <w:t>72</w:t>
            </w:r>
            <w:r w:rsidR="009032FB" w:rsidRPr="00750489">
              <w:rPr>
                <w:rFonts w:ascii="Calibri" w:hAnsi="Calibri" w:cs="Arial"/>
                <w:lang w:eastAsia="ar-SA"/>
              </w:rPr>
              <w:t xml:space="preserve"> / </w:t>
            </w:r>
            <w:r w:rsidR="00A24E7A" w:rsidRPr="00750489">
              <w:rPr>
                <w:rFonts w:ascii="Calibri" w:hAnsi="Calibri" w:cs="Arial"/>
                <w:lang w:eastAsia="ar-SA"/>
              </w:rPr>
              <w:t>58</w:t>
            </w:r>
            <w:r w:rsidR="00490651">
              <w:rPr>
                <w:rFonts w:ascii="Calibri" w:hAnsi="Calibri" w:cs="Arial"/>
                <w:lang w:eastAsia="ar-SA"/>
              </w:rPr>
              <w:t>4</w:t>
            </w:r>
            <w:r w:rsidR="00A24E7A" w:rsidRPr="00750489">
              <w:rPr>
                <w:rFonts w:ascii="Calibri" w:hAnsi="Calibri" w:cs="Arial"/>
                <w:lang w:eastAsia="ar-SA"/>
              </w:rPr>
              <w:t xml:space="preserve"> </w:t>
            </w:r>
            <w:r w:rsidR="009032FB" w:rsidRPr="00750489">
              <w:rPr>
                <w:rFonts w:ascii="Calibri" w:hAnsi="Calibri" w:cs="Arial"/>
                <w:lang w:eastAsia="ar-SA"/>
              </w:rPr>
              <w:t>(</w:t>
            </w:r>
            <w:r w:rsidRPr="00750489">
              <w:rPr>
                <w:rFonts w:ascii="Calibri" w:hAnsi="Calibri" w:cs="Arial"/>
                <w:lang w:eastAsia="ar-SA"/>
              </w:rPr>
              <w:t>12</w:t>
            </w:r>
            <w:r w:rsidR="009032FB" w:rsidRPr="00750489">
              <w:rPr>
                <w:rFonts w:ascii="Calibri" w:hAnsi="Calibri" w:cs="Arial"/>
                <w:lang w:eastAsia="ar-SA"/>
              </w:rPr>
              <w:t>%)</w:t>
            </w:r>
          </w:p>
        </w:tc>
        <w:tc>
          <w:tcPr>
            <w:cnfStyle w:val="000010000000" w:firstRow="0" w:lastRow="0" w:firstColumn="0" w:lastColumn="0" w:oddVBand="1" w:evenVBand="0" w:oddHBand="0" w:evenHBand="0" w:firstRowFirstColumn="0" w:firstRowLastColumn="0" w:lastRowFirstColumn="0" w:lastRowLastColumn="0"/>
            <w:tcW w:w="1834" w:type="dxa"/>
          </w:tcPr>
          <w:p w14:paraId="5EF3360C" w14:textId="054D1395" w:rsidR="009032FB" w:rsidRPr="00750489" w:rsidRDefault="00991F03" w:rsidP="00991F03">
            <w:pPr>
              <w:widowControl/>
              <w:suppressAutoHyphens w:val="0"/>
              <w:rPr>
                <w:rFonts w:ascii="Calibri" w:hAnsi="Calibri" w:cs="Arial"/>
                <w:lang w:eastAsia="ar-SA"/>
              </w:rPr>
            </w:pPr>
            <w:r w:rsidRPr="00750489">
              <w:rPr>
                <w:rFonts w:ascii="Calibri" w:hAnsi="Calibri" w:cs="Arial"/>
                <w:lang w:eastAsia="ar-SA"/>
              </w:rPr>
              <w:t xml:space="preserve">1 </w:t>
            </w:r>
            <w:r w:rsidR="009032FB" w:rsidRPr="00750489">
              <w:rPr>
                <w:rFonts w:ascii="Calibri" w:hAnsi="Calibri" w:cs="Arial"/>
                <w:lang w:eastAsia="ar-SA"/>
              </w:rPr>
              <w:t xml:space="preserve">/ </w:t>
            </w:r>
            <w:r w:rsidR="002D5A20" w:rsidRPr="00750489">
              <w:rPr>
                <w:rFonts w:ascii="Calibri" w:hAnsi="Calibri" w:cs="Arial"/>
                <w:lang w:eastAsia="ar-SA"/>
              </w:rPr>
              <w:t>33</w:t>
            </w:r>
            <w:r w:rsidR="009032FB" w:rsidRPr="00750489">
              <w:rPr>
                <w:rFonts w:ascii="Calibri" w:hAnsi="Calibri" w:cs="Arial"/>
                <w:lang w:eastAsia="ar-SA"/>
              </w:rPr>
              <w:t xml:space="preserve"> (</w:t>
            </w:r>
            <w:r w:rsidRPr="00750489">
              <w:rPr>
                <w:rFonts w:ascii="Calibri" w:hAnsi="Calibri" w:cs="Arial"/>
                <w:lang w:eastAsia="ar-SA"/>
              </w:rPr>
              <w:t>3.0</w:t>
            </w:r>
            <w:r w:rsidR="009032FB" w:rsidRPr="00750489">
              <w:rPr>
                <w:rFonts w:ascii="Calibri" w:hAnsi="Calibri" w:cs="Arial"/>
                <w:lang w:eastAsia="ar-SA"/>
              </w:rPr>
              <w:t>%)</w:t>
            </w:r>
          </w:p>
        </w:tc>
        <w:tc>
          <w:tcPr>
            <w:tcW w:w="1797" w:type="dxa"/>
          </w:tcPr>
          <w:p w14:paraId="336D4B9E" w14:textId="69F1DF59" w:rsidR="009032FB" w:rsidRPr="00750489" w:rsidRDefault="00991F03" w:rsidP="00991F03">
            <w:pPr>
              <w:widowControl/>
              <w:suppressAutoHyphens w:val="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50489">
              <w:rPr>
                <w:rFonts w:ascii="Calibri" w:hAnsi="Calibri" w:cs="Arial"/>
                <w:lang w:eastAsia="ar-SA"/>
              </w:rPr>
              <w:t>6</w:t>
            </w:r>
            <w:r w:rsidR="009032FB" w:rsidRPr="00750489">
              <w:rPr>
                <w:rFonts w:ascii="Calibri" w:hAnsi="Calibri" w:cs="Arial"/>
                <w:lang w:eastAsia="ar-SA"/>
              </w:rPr>
              <w:t xml:space="preserve"> / </w:t>
            </w:r>
            <w:r w:rsidR="00A24E7A" w:rsidRPr="00750489">
              <w:rPr>
                <w:rFonts w:ascii="Calibri" w:hAnsi="Calibri" w:cs="Arial"/>
                <w:lang w:eastAsia="ar-SA"/>
              </w:rPr>
              <w:t xml:space="preserve">134 </w:t>
            </w:r>
            <w:r w:rsidR="009032FB" w:rsidRPr="00750489">
              <w:rPr>
                <w:rFonts w:ascii="Calibri" w:hAnsi="Calibri" w:cs="Arial"/>
                <w:lang w:eastAsia="ar-SA"/>
              </w:rPr>
              <w:t>(</w:t>
            </w:r>
            <w:r w:rsidRPr="00750489">
              <w:rPr>
                <w:rFonts w:ascii="Calibri" w:hAnsi="Calibri" w:cs="Arial"/>
                <w:lang w:eastAsia="ar-SA"/>
              </w:rPr>
              <w:t>4.5</w:t>
            </w:r>
            <w:r w:rsidR="009032FB" w:rsidRPr="00750489">
              <w:rPr>
                <w:rFonts w:ascii="Calibri" w:hAnsi="Calibri" w:cs="Arial"/>
                <w:lang w:eastAsia="ar-SA"/>
              </w:rPr>
              <w:t>%)</w:t>
            </w:r>
          </w:p>
        </w:tc>
      </w:tr>
    </w:tbl>
    <w:p w14:paraId="6840B317" w14:textId="77777777" w:rsidR="009032FB" w:rsidRPr="00750489" w:rsidRDefault="009032FB" w:rsidP="009032FB">
      <w:pPr>
        <w:pStyle w:val="PreformattedText"/>
        <w:spacing w:after="120"/>
        <w:rPr>
          <w:rFonts w:ascii="Calibri" w:hAnsi="Calibri" w:cs="Arial"/>
          <w:color w:val="000000"/>
        </w:rPr>
      </w:pPr>
    </w:p>
    <w:p w14:paraId="505F6F2F" w14:textId="77777777" w:rsidR="006700BC" w:rsidRDefault="006700BC" w:rsidP="00163A52">
      <w:pPr>
        <w:pStyle w:val="Heading1"/>
        <w:rPr>
          <w:rFonts w:ascii="Calibri" w:hAnsi="Calibri"/>
        </w:rPr>
      </w:pPr>
    </w:p>
    <w:p w14:paraId="49CEDEDB" w14:textId="77777777" w:rsidR="006700BC" w:rsidRDefault="006700BC">
      <w:pPr>
        <w:widowControl/>
        <w:suppressAutoHyphens w:val="0"/>
        <w:rPr>
          <w:rFonts w:ascii="Calibri" w:eastAsiaTheme="majorEastAsia" w:hAnsi="Calibri" w:cstheme="majorBidi"/>
          <w:b/>
          <w:bCs/>
          <w:kern w:val="32"/>
          <w:sz w:val="32"/>
          <w:szCs w:val="32"/>
        </w:rPr>
      </w:pPr>
      <w:r>
        <w:rPr>
          <w:rFonts w:ascii="Calibri" w:hAnsi="Calibri"/>
        </w:rPr>
        <w:br w:type="page"/>
      </w:r>
    </w:p>
    <w:p w14:paraId="3F3C320C" w14:textId="457B0793" w:rsidR="006700BC" w:rsidRDefault="006700BC" w:rsidP="006700BC">
      <w:pPr>
        <w:rPr>
          <w:rFonts w:ascii="Calibri" w:hAnsi="Calibri" w:cs="Arial"/>
          <w:b/>
          <w:sz w:val="22"/>
          <w:szCs w:val="22"/>
          <w:lang w:eastAsia="ar-SA"/>
        </w:rPr>
      </w:pPr>
      <w:proofErr w:type="spellStart"/>
      <w:r>
        <w:rPr>
          <w:rFonts w:ascii="Calibri" w:hAnsi="Calibri" w:cs="Arial"/>
          <w:b/>
          <w:bCs/>
          <w:sz w:val="22"/>
          <w:szCs w:val="22"/>
          <w:lang w:eastAsia="ar-SA"/>
        </w:rPr>
        <w:t>eTable</w:t>
      </w:r>
      <w:proofErr w:type="spellEnd"/>
      <w:r>
        <w:rPr>
          <w:rFonts w:ascii="Calibri" w:hAnsi="Calibri" w:cs="Arial"/>
          <w:b/>
          <w:bCs/>
          <w:sz w:val="22"/>
          <w:szCs w:val="22"/>
          <w:lang w:eastAsia="ar-SA"/>
        </w:rPr>
        <w:t xml:space="preserve"> 4</w:t>
      </w:r>
      <w:r w:rsidRPr="00490651">
        <w:rPr>
          <w:rFonts w:ascii="Calibri" w:hAnsi="Calibri" w:cs="Arial"/>
          <w:b/>
          <w:bCs/>
          <w:sz w:val="22"/>
          <w:szCs w:val="22"/>
          <w:lang w:eastAsia="ar-SA"/>
        </w:rPr>
        <w:t xml:space="preserve">. </w:t>
      </w:r>
      <w:r>
        <w:rPr>
          <w:rFonts w:ascii="Calibri" w:hAnsi="Calibri" w:cs="Arial"/>
          <w:sz w:val="22"/>
          <w:szCs w:val="22"/>
          <w:lang w:eastAsia="ar-SA"/>
        </w:rPr>
        <w:t>Phenotype and genotype information for all SDHB/C/D mutation carriers in this study</w:t>
      </w:r>
      <w:r w:rsidRPr="00490651">
        <w:rPr>
          <w:rFonts w:ascii="Calibri" w:hAnsi="Calibri" w:cs="Arial"/>
          <w:sz w:val="22"/>
          <w:szCs w:val="22"/>
          <w:lang w:eastAsia="ar-SA"/>
        </w:rPr>
        <w:t>.</w:t>
      </w:r>
      <w:r w:rsidRPr="00750489">
        <w:rPr>
          <w:rFonts w:ascii="Calibri" w:hAnsi="Calibri" w:cs="Arial"/>
          <w:b/>
          <w:sz w:val="22"/>
          <w:szCs w:val="22"/>
          <w:lang w:eastAsia="ar-SA"/>
        </w:rPr>
        <w:t xml:space="preserve"> </w:t>
      </w:r>
    </w:p>
    <w:p w14:paraId="454D4CE1" w14:textId="1FFF7FE8" w:rsidR="006700BC" w:rsidRPr="006700BC" w:rsidRDefault="006700BC" w:rsidP="006700BC">
      <w:pPr>
        <w:rPr>
          <w:rFonts w:ascii="Calibri" w:hAnsi="Calibri" w:cs="Arial"/>
          <w:sz w:val="22"/>
          <w:szCs w:val="22"/>
          <w:lang w:eastAsia="ar-SA"/>
        </w:rPr>
      </w:pPr>
      <w:r w:rsidRPr="006700BC">
        <w:rPr>
          <w:rFonts w:ascii="Calibri" w:hAnsi="Calibri" w:cs="Arial"/>
          <w:sz w:val="22"/>
          <w:szCs w:val="22"/>
          <w:lang w:eastAsia="ar-SA"/>
        </w:rPr>
        <w:t xml:space="preserve">Please see </w:t>
      </w:r>
      <w:r>
        <w:rPr>
          <w:rFonts w:ascii="Calibri" w:hAnsi="Calibri" w:cs="Arial"/>
          <w:sz w:val="22"/>
          <w:szCs w:val="22"/>
          <w:lang w:eastAsia="ar-SA"/>
        </w:rPr>
        <w:t>separate excel file.</w:t>
      </w:r>
    </w:p>
    <w:p w14:paraId="15236CAD" w14:textId="7839506A" w:rsidR="004B393C" w:rsidRDefault="00DA40B4" w:rsidP="00163A52">
      <w:pPr>
        <w:pStyle w:val="Heading1"/>
      </w:pPr>
      <w:r w:rsidRPr="00750489">
        <w:rPr>
          <w:rFonts w:ascii="Calibri" w:hAnsi="Calibri"/>
        </w:rPr>
        <w:br w:type="page"/>
      </w:r>
      <w:bookmarkStart w:id="4" w:name="_Toc368419628"/>
      <w:r w:rsidRPr="00EE0AC3">
        <w:t>References</w:t>
      </w:r>
      <w:bookmarkEnd w:id="4"/>
    </w:p>
    <w:p w14:paraId="19EAC5E5" w14:textId="77777777" w:rsidR="00750489" w:rsidRPr="00750489" w:rsidRDefault="00750489" w:rsidP="00750489"/>
    <w:p w14:paraId="6114CD08" w14:textId="3F7F6577" w:rsidR="004B6A5D" w:rsidRPr="004B6A5D" w:rsidRDefault="00DA40B4" w:rsidP="004B6A5D">
      <w:pPr>
        <w:autoSpaceDE w:val="0"/>
        <w:autoSpaceDN w:val="0"/>
        <w:adjustRightInd w:val="0"/>
        <w:spacing w:before="100" w:after="100"/>
        <w:ind w:left="640" w:hanging="640"/>
        <w:rPr>
          <w:rFonts w:ascii="Calibri" w:hAnsi="Calibri"/>
          <w:noProof/>
          <w:sz w:val="22"/>
        </w:rPr>
      </w:pPr>
      <w:r w:rsidRPr="00750489">
        <w:rPr>
          <w:rFonts w:ascii="Calibri" w:hAnsi="Calibri"/>
          <w:color w:val="000000"/>
          <w:sz w:val="22"/>
          <w:szCs w:val="22"/>
        </w:rPr>
        <w:fldChar w:fldCharType="begin" w:fldLock="1"/>
      </w:r>
      <w:r w:rsidRPr="00750489">
        <w:rPr>
          <w:rFonts w:ascii="Calibri" w:hAnsi="Calibri"/>
          <w:color w:val="000000"/>
          <w:sz w:val="22"/>
          <w:szCs w:val="22"/>
        </w:rPr>
        <w:instrText xml:space="preserve">ADDIN Mendeley Bibliography CSL_BIBLIOGRAPHY </w:instrText>
      </w:r>
      <w:r w:rsidRPr="00750489">
        <w:rPr>
          <w:rFonts w:ascii="Calibri" w:hAnsi="Calibri"/>
          <w:color w:val="000000"/>
          <w:sz w:val="22"/>
          <w:szCs w:val="22"/>
        </w:rPr>
        <w:fldChar w:fldCharType="separate"/>
      </w:r>
      <w:r w:rsidR="004B6A5D" w:rsidRPr="004B6A5D">
        <w:rPr>
          <w:rFonts w:ascii="Calibri" w:hAnsi="Calibri"/>
          <w:noProof/>
          <w:sz w:val="22"/>
        </w:rPr>
        <w:t xml:space="preserve">1 </w:t>
      </w:r>
      <w:r w:rsidR="004B6A5D" w:rsidRPr="004B6A5D">
        <w:rPr>
          <w:rFonts w:ascii="Calibri" w:hAnsi="Calibri"/>
          <w:noProof/>
          <w:sz w:val="22"/>
        </w:rPr>
        <w:tab/>
        <w:t xml:space="preserve">Gossage L, Pires DE V, Olivera-Nappa Á, Asenjo J, Bycroft M, Blundell TL, Eisen T. An integrated computational approach can classify VHL missense mutations according to risk of clear cell renal carcinoma. </w:t>
      </w:r>
      <w:r w:rsidR="004B6A5D" w:rsidRPr="004B6A5D">
        <w:rPr>
          <w:rFonts w:ascii="Calibri" w:hAnsi="Calibri"/>
          <w:i/>
          <w:iCs/>
          <w:noProof/>
          <w:sz w:val="22"/>
        </w:rPr>
        <w:t>Hum Mol Genet</w:t>
      </w:r>
      <w:r w:rsidR="004B6A5D" w:rsidRPr="004B6A5D">
        <w:rPr>
          <w:rFonts w:ascii="Calibri" w:hAnsi="Calibri"/>
          <w:noProof/>
          <w:sz w:val="22"/>
        </w:rPr>
        <w:t xml:space="preserve"> 2014;</w:t>
      </w:r>
      <w:r w:rsidR="004B6A5D" w:rsidRPr="004B6A5D">
        <w:rPr>
          <w:rFonts w:ascii="Calibri" w:hAnsi="Calibri"/>
          <w:b/>
          <w:bCs/>
          <w:noProof/>
          <w:sz w:val="22"/>
        </w:rPr>
        <w:t>23</w:t>
      </w:r>
      <w:r w:rsidR="004B6A5D" w:rsidRPr="004B6A5D">
        <w:rPr>
          <w:rFonts w:ascii="Calibri" w:hAnsi="Calibri"/>
          <w:noProof/>
          <w:sz w:val="22"/>
        </w:rPr>
        <w:t>:5976–88.</w:t>
      </w:r>
    </w:p>
    <w:p w14:paraId="760AA8CF"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2 </w:t>
      </w:r>
      <w:r w:rsidRPr="004B6A5D">
        <w:rPr>
          <w:rFonts w:ascii="Calibri" w:hAnsi="Calibri"/>
          <w:noProof/>
          <w:sz w:val="22"/>
        </w:rPr>
        <w:tab/>
        <w:t xml:space="preserve">Jafri M, Wake NC, Ascher DB, Pires DE V., Gentle D, Morris MR, Rattenberry E, Simpson MA, Trembath RC, Weber A, Woodward ER, Donaldson A, Blundell TL, Latif F, Maher ER. Germline Mutations in the CDKN2B tumor suppressor gene predispose to renal cell carcinoma. </w:t>
      </w:r>
      <w:r w:rsidRPr="004B6A5D">
        <w:rPr>
          <w:rFonts w:ascii="Calibri" w:hAnsi="Calibri"/>
          <w:i/>
          <w:iCs/>
          <w:noProof/>
          <w:sz w:val="22"/>
        </w:rPr>
        <w:t>Cancer Discov</w:t>
      </w:r>
      <w:r w:rsidRPr="004B6A5D">
        <w:rPr>
          <w:rFonts w:ascii="Calibri" w:hAnsi="Calibri"/>
          <w:noProof/>
          <w:sz w:val="22"/>
        </w:rPr>
        <w:t xml:space="preserve"> Published Online First: 14 April 2015. doi:10.1158/2159-8290.CD-14-1096</w:t>
      </w:r>
    </w:p>
    <w:p w14:paraId="11FB058A"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3 </w:t>
      </w:r>
      <w:r w:rsidRPr="004B6A5D">
        <w:rPr>
          <w:rFonts w:ascii="Calibri" w:hAnsi="Calibri"/>
          <w:noProof/>
          <w:sz w:val="22"/>
        </w:rPr>
        <w:tab/>
        <w:t xml:space="preserve">Nemethova M, Radvanszky J, Kadasi L, Ascher DB, Pires DE V, Blundell TL, Porfirio B, Mannoni A, Santucci A, Milucci L, Sestini S, Biolcati G, Sorge F, Aurizi C, Aquaron R, Alsbou M, Marques Lourenço C, Ramadevi K, Ranganath LR, Gallagher JA, van Kan C, Hall AK, Olsson B, Sireau N, Ayoob H, Timmis OG, Le Quan Sang K-H, Genovese F, Imrich R, Rovensky J, Srinivasaraghavan R, Bharadwaj SK, Spiegel R, Zatkova A. Twelve novel HGD gene variants identified in 99 alkaptonuria patients: focus on ‘black bone disease’ in Italy. </w:t>
      </w:r>
      <w:r w:rsidRPr="004B6A5D">
        <w:rPr>
          <w:rFonts w:ascii="Calibri" w:hAnsi="Calibri"/>
          <w:i/>
          <w:iCs/>
          <w:noProof/>
          <w:sz w:val="22"/>
        </w:rPr>
        <w:t>Eur J Hum Genet</w:t>
      </w:r>
      <w:r w:rsidRPr="004B6A5D">
        <w:rPr>
          <w:rFonts w:ascii="Calibri" w:hAnsi="Calibri"/>
          <w:noProof/>
          <w:sz w:val="22"/>
        </w:rPr>
        <w:t xml:space="preserve"> Published Online First: 25 March 2015. doi:10.1038/ejhg.2015.60</w:t>
      </w:r>
    </w:p>
    <w:p w14:paraId="661027D1"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4 </w:t>
      </w:r>
      <w:r w:rsidRPr="004B6A5D">
        <w:rPr>
          <w:rFonts w:ascii="Calibri" w:hAnsi="Calibri"/>
          <w:noProof/>
          <w:sz w:val="22"/>
        </w:rPr>
        <w:tab/>
        <w:t xml:space="preserve">Usher JL, Ascher DB, Pires DE V, Milan AM, Blundell TL, Ranganath LR. Analysis of HGD Gene Mutations in Patients with Alkaptonuria from the United Kingdom: Identification of Novel Mutations. </w:t>
      </w:r>
      <w:r w:rsidRPr="004B6A5D">
        <w:rPr>
          <w:rFonts w:ascii="Calibri" w:hAnsi="Calibri"/>
          <w:i/>
          <w:iCs/>
          <w:noProof/>
          <w:sz w:val="22"/>
        </w:rPr>
        <w:t>JIMD Rep</w:t>
      </w:r>
      <w:r w:rsidRPr="004B6A5D">
        <w:rPr>
          <w:rFonts w:ascii="Calibri" w:hAnsi="Calibri"/>
          <w:noProof/>
          <w:sz w:val="22"/>
        </w:rPr>
        <w:t xml:space="preserve"> Published Online First: 15 February 2015. doi:10.1007/8904_2014_380</w:t>
      </w:r>
    </w:p>
    <w:p w14:paraId="14D46EF8"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5 </w:t>
      </w:r>
      <w:r w:rsidRPr="004B6A5D">
        <w:rPr>
          <w:rFonts w:ascii="Calibri" w:hAnsi="Calibri"/>
          <w:noProof/>
          <w:sz w:val="22"/>
        </w:rPr>
        <w:tab/>
        <w:t xml:space="preserve">Sali A, Blundell TL. Comparative protein modelling by satisfaction of spatial restraints. </w:t>
      </w:r>
      <w:r w:rsidRPr="004B6A5D">
        <w:rPr>
          <w:rFonts w:ascii="Calibri" w:hAnsi="Calibri"/>
          <w:i/>
          <w:iCs/>
          <w:noProof/>
          <w:sz w:val="22"/>
        </w:rPr>
        <w:t>J Mol Biol</w:t>
      </w:r>
      <w:r w:rsidRPr="004B6A5D">
        <w:rPr>
          <w:rFonts w:ascii="Calibri" w:hAnsi="Calibri"/>
          <w:noProof/>
          <w:sz w:val="22"/>
        </w:rPr>
        <w:t xml:space="preserve"> 1993;</w:t>
      </w:r>
      <w:r w:rsidRPr="004B6A5D">
        <w:rPr>
          <w:rFonts w:ascii="Calibri" w:hAnsi="Calibri"/>
          <w:b/>
          <w:bCs/>
          <w:noProof/>
          <w:sz w:val="22"/>
        </w:rPr>
        <w:t>234</w:t>
      </w:r>
      <w:r w:rsidRPr="004B6A5D">
        <w:rPr>
          <w:rFonts w:ascii="Calibri" w:hAnsi="Calibri"/>
          <w:noProof/>
          <w:sz w:val="22"/>
        </w:rPr>
        <w:t>:779–815.</w:t>
      </w:r>
    </w:p>
    <w:p w14:paraId="34B1E51B"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6 </w:t>
      </w:r>
      <w:r w:rsidRPr="004B6A5D">
        <w:rPr>
          <w:rFonts w:ascii="Calibri" w:hAnsi="Calibri"/>
          <w:noProof/>
          <w:sz w:val="22"/>
        </w:rPr>
        <w:tab/>
        <w:t xml:space="preserve">Pires DE V, Ascher DB, Blundell TL. DUET: a server for predicting effects of mutations on protein stability using an integrated computational approach. </w:t>
      </w:r>
      <w:r w:rsidRPr="004B6A5D">
        <w:rPr>
          <w:rFonts w:ascii="Calibri" w:hAnsi="Calibri"/>
          <w:i/>
          <w:iCs/>
          <w:noProof/>
          <w:sz w:val="22"/>
        </w:rPr>
        <w:t>Nucleic Acids Res</w:t>
      </w:r>
      <w:r w:rsidRPr="004B6A5D">
        <w:rPr>
          <w:rFonts w:ascii="Calibri" w:hAnsi="Calibri"/>
          <w:noProof/>
          <w:sz w:val="22"/>
        </w:rPr>
        <w:t xml:space="preserve"> 2014;</w:t>
      </w:r>
      <w:r w:rsidRPr="004B6A5D">
        <w:rPr>
          <w:rFonts w:ascii="Calibri" w:hAnsi="Calibri"/>
          <w:b/>
          <w:bCs/>
          <w:noProof/>
          <w:sz w:val="22"/>
        </w:rPr>
        <w:t>42</w:t>
      </w:r>
      <w:r w:rsidRPr="004B6A5D">
        <w:rPr>
          <w:rFonts w:ascii="Calibri" w:hAnsi="Calibri"/>
          <w:noProof/>
          <w:sz w:val="22"/>
        </w:rPr>
        <w:t>:W314-9.</w:t>
      </w:r>
    </w:p>
    <w:p w14:paraId="27AEFB73"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7 </w:t>
      </w:r>
      <w:r w:rsidRPr="004B6A5D">
        <w:rPr>
          <w:rFonts w:ascii="Calibri" w:hAnsi="Calibri"/>
          <w:noProof/>
          <w:sz w:val="22"/>
        </w:rPr>
        <w:tab/>
        <w:t xml:space="preserve">Pires DE V, Ascher DB, Blundell TL. mCSM: predicting the effects of mutations in proteins using graph-based signatures. </w:t>
      </w:r>
      <w:r w:rsidRPr="004B6A5D">
        <w:rPr>
          <w:rFonts w:ascii="Calibri" w:hAnsi="Calibri"/>
          <w:i/>
          <w:iCs/>
          <w:noProof/>
          <w:sz w:val="22"/>
        </w:rPr>
        <w:t>Bioinformatics</w:t>
      </w:r>
      <w:r w:rsidRPr="004B6A5D">
        <w:rPr>
          <w:rFonts w:ascii="Calibri" w:hAnsi="Calibri"/>
          <w:noProof/>
          <w:sz w:val="22"/>
        </w:rPr>
        <w:t xml:space="preserve"> 2014;</w:t>
      </w:r>
      <w:r w:rsidRPr="004B6A5D">
        <w:rPr>
          <w:rFonts w:ascii="Calibri" w:hAnsi="Calibri"/>
          <w:b/>
          <w:bCs/>
          <w:noProof/>
          <w:sz w:val="22"/>
        </w:rPr>
        <w:t>30</w:t>
      </w:r>
      <w:r w:rsidRPr="004B6A5D">
        <w:rPr>
          <w:rFonts w:ascii="Calibri" w:hAnsi="Calibri"/>
          <w:noProof/>
          <w:sz w:val="22"/>
        </w:rPr>
        <w:t>:335–42.</w:t>
      </w:r>
    </w:p>
    <w:p w14:paraId="7EF13EEB"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8 </w:t>
      </w:r>
      <w:r w:rsidRPr="004B6A5D">
        <w:rPr>
          <w:rFonts w:ascii="Calibri" w:hAnsi="Calibri"/>
          <w:noProof/>
          <w:sz w:val="22"/>
        </w:rPr>
        <w:tab/>
        <w:t>Exome Aggregation Consortium (ExAC), Cambridge, MA. http://exac.broadinstitute.org</w:t>
      </w:r>
    </w:p>
    <w:p w14:paraId="0807BCE7"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9 </w:t>
      </w:r>
      <w:r w:rsidRPr="004B6A5D">
        <w:rPr>
          <w:rFonts w:ascii="Calibri" w:hAnsi="Calibri"/>
          <w:noProof/>
          <w:sz w:val="22"/>
        </w:rPr>
        <w:tab/>
        <w:t xml:space="preserve">Lek M, Karczewski KJ, Minikel E V., Samocha KE, Banks E, Fennell T, O’Donnell-Luria AH, Ware JS, Hill AJ, Cummings BB, Tukiainen T, Birnbaum DP, Kosmicki JA, Duncan LE, Estrada K, Zhao F, Zou J, Pierce-Hoffman E, Berghout J, Cooper DN, Deflaux N, DePristo M, Do R, Flannick J, Fromer M, Gauthier L, Goldstein J, Gupta N, Howrigan D, Kiezun A, Kurki MI, Moonshine AL, Natarajan P, Orozco L, Peloso GM, Poplin R, Rivas MA, Ruano-Rubio V, Rose SA, Ruderfer DM, Shakir K, Stenson PD, Stevens C, Thomas BP, Tiao G, Tusie-Luna MT, Weisburd B, Won H-H, Yu D, Altshuler DM, Ardissino D, Boehnke M, Danesh J, Donnelly S, Elosua R, Florez JC, Gabriel SB, Getz G, Glatt SJ, Hultman CM, Kathiresan S, Laakso M, McCarroll S, McCarthy MI, McGovern D, McPherson R, Neale BM, Palotie A, Purcell SM, Saleheen D, Scharf JM, Sklar P, Sullivan PF, Tuomilehto J, Tsuang MT, Watkins HC, Wilson JG, Daly MJ, MacArthur DG, Exome Aggregation Consortium. Analysis of protein-coding genetic variation in 60,706 humans. </w:t>
      </w:r>
      <w:r w:rsidRPr="004B6A5D">
        <w:rPr>
          <w:rFonts w:ascii="Calibri" w:hAnsi="Calibri"/>
          <w:i/>
          <w:iCs/>
          <w:noProof/>
          <w:sz w:val="22"/>
        </w:rPr>
        <w:t>Nature</w:t>
      </w:r>
      <w:r w:rsidRPr="004B6A5D">
        <w:rPr>
          <w:rFonts w:ascii="Calibri" w:hAnsi="Calibri"/>
          <w:noProof/>
          <w:sz w:val="22"/>
        </w:rPr>
        <w:t xml:space="preserve"> 2016;</w:t>
      </w:r>
      <w:r w:rsidRPr="004B6A5D">
        <w:rPr>
          <w:rFonts w:ascii="Calibri" w:hAnsi="Calibri"/>
          <w:b/>
          <w:bCs/>
          <w:noProof/>
          <w:sz w:val="22"/>
        </w:rPr>
        <w:t>536</w:t>
      </w:r>
      <w:r w:rsidRPr="004B6A5D">
        <w:rPr>
          <w:rFonts w:ascii="Calibri" w:hAnsi="Calibri"/>
          <w:noProof/>
          <w:sz w:val="22"/>
        </w:rPr>
        <w:t>:285–91.</w:t>
      </w:r>
    </w:p>
    <w:p w14:paraId="2BE6A364"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10 </w:t>
      </w:r>
      <w:r w:rsidRPr="004B6A5D">
        <w:rPr>
          <w:rFonts w:ascii="Calibri" w:hAnsi="Calibri"/>
          <w:noProof/>
          <w:sz w:val="22"/>
        </w:rPr>
        <w:tab/>
        <w:t>Cancer Research UK. http://www.cancerresearchuk.org/ (accessed 4 Sep2016).</w:t>
      </w:r>
    </w:p>
    <w:p w14:paraId="4A16F304"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11 </w:t>
      </w:r>
      <w:r w:rsidRPr="004B6A5D">
        <w:rPr>
          <w:rFonts w:ascii="Calibri" w:hAnsi="Calibri"/>
          <w:noProof/>
          <w:sz w:val="22"/>
        </w:rPr>
        <w:tab/>
        <w:t xml:space="preserve">Lange K, Weeks D, Boehnke M, MacCluer JW, MacCluer JW. Programs for pedigree analysis: Mendel, Fisher, and dGene. </w:t>
      </w:r>
      <w:r w:rsidRPr="004B6A5D">
        <w:rPr>
          <w:rFonts w:ascii="Calibri" w:hAnsi="Calibri"/>
          <w:i/>
          <w:iCs/>
          <w:noProof/>
          <w:sz w:val="22"/>
        </w:rPr>
        <w:t>Genet Epidemiol</w:t>
      </w:r>
      <w:r w:rsidRPr="004B6A5D">
        <w:rPr>
          <w:rFonts w:ascii="Calibri" w:hAnsi="Calibri"/>
          <w:noProof/>
          <w:sz w:val="22"/>
        </w:rPr>
        <w:t xml:space="preserve"> 1988;</w:t>
      </w:r>
      <w:r w:rsidRPr="004B6A5D">
        <w:rPr>
          <w:rFonts w:ascii="Calibri" w:hAnsi="Calibri"/>
          <w:b/>
          <w:bCs/>
          <w:noProof/>
          <w:sz w:val="22"/>
        </w:rPr>
        <w:t>5</w:t>
      </w:r>
      <w:r w:rsidRPr="004B6A5D">
        <w:rPr>
          <w:rFonts w:ascii="Calibri" w:hAnsi="Calibri"/>
          <w:noProof/>
          <w:sz w:val="22"/>
        </w:rPr>
        <w:t>:471–2.</w:t>
      </w:r>
    </w:p>
    <w:p w14:paraId="6D75C96D"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12 </w:t>
      </w:r>
      <w:r w:rsidRPr="004B6A5D">
        <w:rPr>
          <w:rFonts w:ascii="Calibri" w:hAnsi="Calibri"/>
          <w:noProof/>
          <w:sz w:val="22"/>
        </w:rPr>
        <w:tab/>
        <w:t>R Core Team. R: A Language and Environment for Statistical Computing. R Foundation for Statistical Computing, Vienna, Australia. 2017.https://www.r-project.org/</w:t>
      </w:r>
    </w:p>
    <w:p w14:paraId="5ABD46CB"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13 </w:t>
      </w:r>
      <w:r w:rsidRPr="004B6A5D">
        <w:rPr>
          <w:rFonts w:ascii="Calibri" w:hAnsi="Calibri"/>
          <w:noProof/>
          <w:sz w:val="22"/>
        </w:rPr>
        <w:tab/>
        <w:t xml:space="preserve">Neumann HPH, Pawlu C, Peczkowska M, Bausch B, McWhinney SR, Muresan M, Buchta M, Franke G, Klisch J, Bley TA, Hoegerle S, Boedeker CC, Opocher G, Schipper J, Januszewicz A, Eng C. Distinct Clinical Features of Paraganglioma Syndromes Associated With SDHB and SDHD GeneMutations. </w:t>
      </w:r>
      <w:r w:rsidRPr="004B6A5D">
        <w:rPr>
          <w:rFonts w:ascii="Calibri" w:hAnsi="Calibri"/>
          <w:i/>
          <w:iCs/>
          <w:noProof/>
          <w:sz w:val="22"/>
        </w:rPr>
        <w:t>JAMA</w:t>
      </w:r>
      <w:r w:rsidRPr="004B6A5D">
        <w:rPr>
          <w:rFonts w:ascii="Calibri" w:hAnsi="Calibri"/>
          <w:noProof/>
          <w:sz w:val="22"/>
        </w:rPr>
        <w:t xml:space="preserve"> 2004;</w:t>
      </w:r>
      <w:r w:rsidRPr="004B6A5D">
        <w:rPr>
          <w:rFonts w:ascii="Calibri" w:hAnsi="Calibri"/>
          <w:b/>
          <w:bCs/>
          <w:noProof/>
          <w:sz w:val="22"/>
        </w:rPr>
        <w:t>292</w:t>
      </w:r>
      <w:r w:rsidRPr="004B6A5D">
        <w:rPr>
          <w:rFonts w:ascii="Calibri" w:hAnsi="Calibri"/>
          <w:noProof/>
          <w:sz w:val="22"/>
        </w:rPr>
        <w:t>:943–51.</w:t>
      </w:r>
    </w:p>
    <w:p w14:paraId="2A51BEAD"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14 </w:t>
      </w:r>
      <w:r w:rsidRPr="004B6A5D">
        <w:rPr>
          <w:rFonts w:ascii="Calibri" w:hAnsi="Calibri"/>
          <w:noProof/>
          <w:sz w:val="22"/>
        </w:rPr>
        <w:tab/>
        <w:t xml:space="preserve">Benn DE, Gimenez-Roqueplo A-P, Reilly JR, Bertherat J, Burgess J, Byth K, Croxson M, Dahia PLM, Elston M, Gimm O, Henley D, Herman P, Murday V, Niccoli-Sire P, Pasieka JL, Rohmer V, Tucker K, Jeunemaitre X, Marsh DJ, Plouin P-F, Robinson BG. Clinical presentation and penetrance of pheochromocytoma/paraganglioma syndromes. </w:t>
      </w:r>
      <w:r w:rsidRPr="004B6A5D">
        <w:rPr>
          <w:rFonts w:ascii="Calibri" w:hAnsi="Calibri"/>
          <w:i/>
          <w:iCs/>
          <w:noProof/>
          <w:sz w:val="22"/>
        </w:rPr>
        <w:t>J Clin Endocrinol Metab</w:t>
      </w:r>
      <w:r w:rsidRPr="004B6A5D">
        <w:rPr>
          <w:rFonts w:ascii="Calibri" w:hAnsi="Calibri"/>
          <w:noProof/>
          <w:sz w:val="22"/>
        </w:rPr>
        <w:t xml:space="preserve"> 2006;</w:t>
      </w:r>
      <w:r w:rsidRPr="004B6A5D">
        <w:rPr>
          <w:rFonts w:ascii="Calibri" w:hAnsi="Calibri"/>
          <w:b/>
          <w:bCs/>
          <w:noProof/>
          <w:sz w:val="22"/>
        </w:rPr>
        <w:t>91</w:t>
      </w:r>
      <w:r w:rsidRPr="004B6A5D">
        <w:rPr>
          <w:rFonts w:ascii="Calibri" w:hAnsi="Calibri"/>
          <w:noProof/>
          <w:sz w:val="22"/>
        </w:rPr>
        <w:t>:827–36.</w:t>
      </w:r>
    </w:p>
    <w:p w14:paraId="1D0CC007"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15 </w:t>
      </w:r>
      <w:r w:rsidRPr="004B6A5D">
        <w:rPr>
          <w:rFonts w:ascii="Calibri" w:hAnsi="Calibri"/>
          <w:noProof/>
          <w:sz w:val="22"/>
        </w:rPr>
        <w:tab/>
        <w:t xml:space="preserve">Mannelli M, Castellano M, Schiavi F, Filetti S, Giacchè M, Mori L, Pignataro V, Bernini G, Giachè V, Bacca A, Biondi B, Corona G, Di Trapani G, Grossrubatscher E, Reimondo G, Arnaldi G, Giacchetti G, Veglio F, Loli P, Colao A, Ambrosio MR, Terzolo M, Letizia C, Ercolino T, Opocher G. Clinically guided genetic screening in a large cohort of italian patients with pheochromocytomas and/or functional or nonfunctional paragangliomas. </w:t>
      </w:r>
      <w:r w:rsidRPr="004B6A5D">
        <w:rPr>
          <w:rFonts w:ascii="Calibri" w:hAnsi="Calibri"/>
          <w:i/>
          <w:iCs/>
          <w:noProof/>
          <w:sz w:val="22"/>
        </w:rPr>
        <w:t>J Clin Endocrinol Metab</w:t>
      </w:r>
      <w:r w:rsidRPr="004B6A5D">
        <w:rPr>
          <w:rFonts w:ascii="Calibri" w:hAnsi="Calibri"/>
          <w:noProof/>
          <w:sz w:val="22"/>
        </w:rPr>
        <w:t xml:space="preserve"> 2009;</w:t>
      </w:r>
      <w:r w:rsidRPr="004B6A5D">
        <w:rPr>
          <w:rFonts w:ascii="Calibri" w:hAnsi="Calibri"/>
          <w:b/>
          <w:bCs/>
          <w:noProof/>
          <w:sz w:val="22"/>
        </w:rPr>
        <w:t>94</w:t>
      </w:r>
      <w:r w:rsidRPr="004B6A5D">
        <w:rPr>
          <w:rFonts w:ascii="Calibri" w:hAnsi="Calibri"/>
          <w:noProof/>
          <w:sz w:val="22"/>
        </w:rPr>
        <w:t>:1541–7.</w:t>
      </w:r>
    </w:p>
    <w:p w14:paraId="0D2F8378"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16 </w:t>
      </w:r>
      <w:r w:rsidRPr="004B6A5D">
        <w:rPr>
          <w:rFonts w:ascii="Calibri" w:hAnsi="Calibri"/>
          <w:noProof/>
          <w:sz w:val="22"/>
        </w:rPr>
        <w:tab/>
        <w:t xml:space="preserve">Erlic Z, Rybicki L, Peczkowska M, Golcher H, Kann PH, Brauckhoff M, Müssig K, Muresan M, Schäffler A, Reisch N, Schott M, Fassnacht M, Opocher G, Klose S, Fottner C, Forrer F, Plöckinger U, Petersenn S, Zabolotny D, Kollukch O, Yaremchuk S, Januszewicz A, Walz MK, Eng C, Neumann HPH. Clinical predictors and algorithm for the genetic diagnosis of pheochromocytoma patients. </w:t>
      </w:r>
      <w:r w:rsidRPr="004B6A5D">
        <w:rPr>
          <w:rFonts w:ascii="Calibri" w:hAnsi="Calibri"/>
          <w:i/>
          <w:iCs/>
          <w:noProof/>
          <w:sz w:val="22"/>
        </w:rPr>
        <w:t>Clin Cancer Res</w:t>
      </w:r>
      <w:r w:rsidRPr="004B6A5D">
        <w:rPr>
          <w:rFonts w:ascii="Calibri" w:hAnsi="Calibri"/>
          <w:noProof/>
          <w:sz w:val="22"/>
        </w:rPr>
        <w:t xml:space="preserve"> 2009;</w:t>
      </w:r>
      <w:r w:rsidRPr="004B6A5D">
        <w:rPr>
          <w:rFonts w:ascii="Calibri" w:hAnsi="Calibri"/>
          <w:b/>
          <w:bCs/>
          <w:noProof/>
          <w:sz w:val="22"/>
        </w:rPr>
        <w:t>15</w:t>
      </w:r>
      <w:r w:rsidRPr="004B6A5D">
        <w:rPr>
          <w:rFonts w:ascii="Calibri" w:hAnsi="Calibri"/>
          <w:noProof/>
          <w:sz w:val="22"/>
        </w:rPr>
        <w:t>:6378–85.</w:t>
      </w:r>
    </w:p>
    <w:p w14:paraId="72D34B89"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17 </w:t>
      </w:r>
      <w:r w:rsidRPr="004B6A5D">
        <w:rPr>
          <w:rFonts w:ascii="Calibri" w:hAnsi="Calibri"/>
          <w:noProof/>
          <w:sz w:val="22"/>
        </w:rPr>
        <w:tab/>
        <w:t xml:space="preserve">Neumann HPH, Erlic Z, Boedeker CC, Rybicki L a, Robledo M, Hermsen M, Schiavi F, Falcioni M, Kwok P, Bauters C, Lampe K, Fischer M, Edelman E, Benn DE, Robinson BG, Wiegand S, Rasp G, Stuck B a, Hoffmann MM, Sullivan M, Sevilla M a, Weiss MM, Peczkowska M, Kubaszek A, Pigny P, Ward RL, Learoyd D, Croxson M, Zabolotny D, Yaremchuk S, Draf W, Muresan M, Lorenz RR, Knipping S, Strohm M, Dyckhoff G, Matthias C, Reisch N, Preuss SF, Esser D, Walter M a, Kaftan H, Stöver T, Fottner C, Gorgulla H, Malekpour M, Zarandy MM, Schipper J, Brase C, Glien A, Kühnemund M, Koscielny S, Schwerdtfeger P, Välimäki M, Szyfter W, Finckh U, Zerres K, Cascon A, Opocher G, Ridder GJ, Januszewicz A, Suarez C, Eng C. Clinical predictors for germline mutations in head and neck paraganglioma patients: cost reduction strategy in genetic diagnostic process as fall-out. </w:t>
      </w:r>
      <w:r w:rsidRPr="004B6A5D">
        <w:rPr>
          <w:rFonts w:ascii="Calibri" w:hAnsi="Calibri"/>
          <w:i/>
          <w:iCs/>
          <w:noProof/>
          <w:sz w:val="22"/>
        </w:rPr>
        <w:t>Cancer Res</w:t>
      </w:r>
      <w:r w:rsidRPr="004B6A5D">
        <w:rPr>
          <w:rFonts w:ascii="Calibri" w:hAnsi="Calibri"/>
          <w:noProof/>
          <w:sz w:val="22"/>
        </w:rPr>
        <w:t xml:space="preserve"> 2009;</w:t>
      </w:r>
      <w:r w:rsidRPr="004B6A5D">
        <w:rPr>
          <w:rFonts w:ascii="Calibri" w:hAnsi="Calibri"/>
          <w:b/>
          <w:bCs/>
          <w:noProof/>
          <w:sz w:val="22"/>
        </w:rPr>
        <w:t>69</w:t>
      </w:r>
      <w:r w:rsidRPr="004B6A5D">
        <w:rPr>
          <w:rFonts w:ascii="Calibri" w:hAnsi="Calibri"/>
          <w:noProof/>
          <w:sz w:val="22"/>
        </w:rPr>
        <w:t>:3650–6.</w:t>
      </w:r>
    </w:p>
    <w:p w14:paraId="2F05C8C5"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18 </w:t>
      </w:r>
      <w:r w:rsidRPr="004B6A5D">
        <w:rPr>
          <w:rFonts w:ascii="Calibri" w:hAnsi="Calibri"/>
          <w:noProof/>
          <w:sz w:val="22"/>
        </w:rPr>
        <w:tab/>
        <w:t xml:space="preserve">Burnichon N, Rohmer V, Amar L, Herman P, Leboulleux S, Darrouzet V, Niccoli P, Gaillard D, Chabrier G, Chabolle F, Coupier I, Thieblot P, Lecomte P, Bertherat J, Wion-Barbot N, Murat A, Venisse A, Plouin P-F, Jeunemaitre X, Gimenez-Roqueplo A-P. The succinate dehydrogenase genetic testing in a large prospective series of patients with paragangliomas. </w:t>
      </w:r>
      <w:r w:rsidRPr="004B6A5D">
        <w:rPr>
          <w:rFonts w:ascii="Calibri" w:hAnsi="Calibri"/>
          <w:i/>
          <w:iCs/>
          <w:noProof/>
          <w:sz w:val="22"/>
        </w:rPr>
        <w:t>J Clin Endocrinol Metab</w:t>
      </w:r>
      <w:r w:rsidRPr="004B6A5D">
        <w:rPr>
          <w:rFonts w:ascii="Calibri" w:hAnsi="Calibri"/>
          <w:noProof/>
          <w:sz w:val="22"/>
        </w:rPr>
        <w:t xml:space="preserve"> 2009;</w:t>
      </w:r>
      <w:r w:rsidRPr="004B6A5D">
        <w:rPr>
          <w:rFonts w:ascii="Calibri" w:hAnsi="Calibri"/>
          <w:b/>
          <w:bCs/>
          <w:noProof/>
          <w:sz w:val="22"/>
        </w:rPr>
        <w:t>94</w:t>
      </w:r>
      <w:r w:rsidRPr="004B6A5D">
        <w:rPr>
          <w:rFonts w:ascii="Calibri" w:hAnsi="Calibri"/>
          <w:noProof/>
          <w:sz w:val="22"/>
        </w:rPr>
        <w:t>:2817–27.</w:t>
      </w:r>
    </w:p>
    <w:p w14:paraId="0BF40D1A"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19 </w:t>
      </w:r>
      <w:r w:rsidRPr="004B6A5D">
        <w:rPr>
          <w:rFonts w:ascii="Calibri" w:hAnsi="Calibri"/>
          <w:noProof/>
          <w:sz w:val="22"/>
        </w:rPr>
        <w:tab/>
        <w:t xml:space="preserve">Solis DC, Burnichon N, Timmers HJLM, Raygada MJ, Kozupa  a, Merino MJ, Makey D, Adams KT, Venisse  a, Gimenez-Roqueplo  a-P, Pacak K. Penetrance and clinical consequences of a gross SDHB deletion in a large family. </w:t>
      </w:r>
      <w:r w:rsidRPr="004B6A5D">
        <w:rPr>
          <w:rFonts w:ascii="Calibri" w:hAnsi="Calibri"/>
          <w:i/>
          <w:iCs/>
          <w:noProof/>
          <w:sz w:val="22"/>
        </w:rPr>
        <w:t>Clin Genet</w:t>
      </w:r>
      <w:r w:rsidRPr="004B6A5D">
        <w:rPr>
          <w:rFonts w:ascii="Calibri" w:hAnsi="Calibri"/>
          <w:noProof/>
          <w:sz w:val="22"/>
        </w:rPr>
        <w:t xml:space="preserve"> 2009;</w:t>
      </w:r>
      <w:r w:rsidRPr="004B6A5D">
        <w:rPr>
          <w:rFonts w:ascii="Calibri" w:hAnsi="Calibri"/>
          <w:b/>
          <w:bCs/>
          <w:noProof/>
          <w:sz w:val="22"/>
        </w:rPr>
        <w:t>75</w:t>
      </w:r>
      <w:r w:rsidRPr="004B6A5D">
        <w:rPr>
          <w:rFonts w:ascii="Calibri" w:hAnsi="Calibri"/>
          <w:noProof/>
          <w:sz w:val="22"/>
        </w:rPr>
        <w:t>:354–63.</w:t>
      </w:r>
    </w:p>
    <w:p w14:paraId="2CA768A0"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20 </w:t>
      </w:r>
      <w:r w:rsidRPr="004B6A5D">
        <w:rPr>
          <w:rFonts w:ascii="Calibri" w:hAnsi="Calibri"/>
          <w:noProof/>
          <w:sz w:val="22"/>
        </w:rPr>
        <w:tab/>
        <w:t xml:space="preserve">Schiavi F, Milne RL, Anda E, Blay P, Castellano M, Opocher G, Robledo M, Cascón A. Are we overestimating the penetrance of mutations in SDHB? </w:t>
      </w:r>
      <w:r w:rsidRPr="004B6A5D">
        <w:rPr>
          <w:rFonts w:ascii="Calibri" w:hAnsi="Calibri"/>
          <w:i/>
          <w:iCs/>
          <w:noProof/>
          <w:sz w:val="22"/>
        </w:rPr>
        <w:t>Hum Mutat</w:t>
      </w:r>
      <w:r w:rsidRPr="004B6A5D">
        <w:rPr>
          <w:rFonts w:ascii="Calibri" w:hAnsi="Calibri"/>
          <w:noProof/>
          <w:sz w:val="22"/>
        </w:rPr>
        <w:t xml:space="preserve"> 2010;</w:t>
      </w:r>
      <w:r w:rsidRPr="004B6A5D">
        <w:rPr>
          <w:rFonts w:ascii="Calibri" w:hAnsi="Calibri"/>
          <w:b/>
          <w:bCs/>
          <w:noProof/>
          <w:sz w:val="22"/>
        </w:rPr>
        <w:t>31</w:t>
      </w:r>
      <w:r w:rsidRPr="004B6A5D">
        <w:rPr>
          <w:rFonts w:ascii="Calibri" w:hAnsi="Calibri"/>
          <w:noProof/>
          <w:sz w:val="22"/>
        </w:rPr>
        <w:t>:761–2.</w:t>
      </w:r>
    </w:p>
    <w:p w14:paraId="2D659539"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21 </w:t>
      </w:r>
      <w:r w:rsidRPr="004B6A5D">
        <w:rPr>
          <w:rFonts w:ascii="Calibri" w:hAnsi="Calibri"/>
          <w:noProof/>
          <w:sz w:val="22"/>
        </w:rPr>
        <w:tab/>
        <w:t>Venisse A, Nau V, Roncellin I, Boccio V, Pottier N Le, Boussion M, Travers C, Simian C, Burnichon N, Abermil N, Favier J, Jeunemaitre X, Cardiovascular P. A Decade ( 2001 – 2010 ) of Genetic Testing for Pheochromocytoma and Paraganglioma. 2012;:359–66.</w:t>
      </w:r>
    </w:p>
    <w:p w14:paraId="2D1A700B"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22 </w:t>
      </w:r>
      <w:r w:rsidRPr="004B6A5D">
        <w:rPr>
          <w:rFonts w:ascii="Calibri" w:hAnsi="Calibri"/>
          <w:noProof/>
          <w:sz w:val="22"/>
        </w:rPr>
        <w:tab/>
        <w:t xml:space="preserve">Hensen EF, van Duinen N, Jansen JC, Corssmit EPM, Tops CMJ, Romijn J a, Vriends  a HJT, van der Mey  a GL, Cornelisse CJ, Devilee P, Bayley JP. High prevalence of founder mutations of the succinate dehydrogenase genes in the Netherlands. </w:t>
      </w:r>
      <w:r w:rsidRPr="004B6A5D">
        <w:rPr>
          <w:rFonts w:ascii="Calibri" w:hAnsi="Calibri"/>
          <w:i/>
          <w:iCs/>
          <w:noProof/>
          <w:sz w:val="22"/>
        </w:rPr>
        <w:t>Clin Genet</w:t>
      </w:r>
      <w:r w:rsidRPr="004B6A5D">
        <w:rPr>
          <w:rFonts w:ascii="Calibri" w:hAnsi="Calibri"/>
          <w:noProof/>
          <w:sz w:val="22"/>
        </w:rPr>
        <w:t xml:space="preserve"> 2012;</w:t>
      </w:r>
      <w:r w:rsidRPr="004B6A5D">
        <w:rPr>
          <w:rFonts w:ascii="Calibri" w:hAnsi="Calibri"/>
          <w:b/>
          <w:bCs/>
          <w:noProof/>
          <w:sz w:val="22"/>
        </w:rPr>
        <w:t>81</w:t>
      </w:r>
      <w:r w:rsidRPr="004B6A5D">
        <w:rPr>
          <w:rFonts w:ascii="Calibri" w:hAnsi="Calibri"/>
          <w:noProof/>
          <w:sz w:val="22"/>
        </w:rPr>
        <w:t>:284–8.</w:t>
      </w:r>
    </w:p>
    <w:p w14:paraId="6A4922A5"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23 </w:t>
      </w:r>
      <w:r w:rsidRPr="004B6A5D">
        <w:rPr>
          <w:rFonts w:ascii="Calibri" w:hAnsi="Calibri"/>
          <w:noProof/>
          <w:sz w:val="22"/>
        </w:rPr>
        <w:tab/>
        <w:t xml:space="preserve">Rijken JA, Niemeijer ND, Corssmit EPM, Jonker MA, Leemans CR, Menko FH, Hensen EF. Low penetrance of paraganglioma and pheochromocytoma in an extended kindred with a germline SDHB exon 3 deletion. </w:t>
      </w:r>
      <w:r w:rsidRPr="004B6A5D">
        <w:rPr>
          <w:rFonts w:ascii="Calibri" w:hAnsi="Calibri"/>
          <w:i/>
          <w:iCs/>
          <w:noProof/>
          <w:sz w:val="22"/>
        </w:rPr>
        <w:t>Clin Genet</w:t>
      </w:r>
      <w:r w:rsidRPr="004B6A5D">
        <w:rPr>
          <w:rFonts w:ascii="Calibri" w:hAnsi="Calibri"/>
          <w:noProof/>
          <w:sz w:val="22"/>
        </w:rPr>
        <w:t xml:space="preserve"> 2016;</w:t>
      </w:r>
      <w:r w:rsidRPr="004B6A5D">
        <w:rPr>
          <w:rFonts w:ascii="Calibri" w:hAnsi="Calibri"/>
          <w:b/>
          <w:bCs/>
          <w:noProof/>
          <w:sz w:val="22"/>
        </w:rPr>
        <w:t>89</w:t>
      </w:r>
      <w:r w:rsidRPr="004B6A5D">
        <w:rPr>
          <w:rFonts w:ascii="Calibri" w:hAnsi="Calibri"/>
          <w:noProof/>
          <w:sz w:val="22"/>
        </w:rPr>
        <w:t>:128–32.</w:t>
      </w:r>
    </w:p>
    <w:p w14:paraId="12C30D2E"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24 </w:t>
      </w:r>
      <w:r w:rsidRPr="004B6A5D">
        <w:rPr>
          <w:rFonts w:ascii="Calibri" w:hAnsi="Calibri"/>
          <w:noProof/>
          <w:sz w:val="22"/>
        </w:rPr>
        <w:tab/>
        <w:t xml:space="preserve">Eijkelenkamp K, Osinga TE, de Jong MM, Sluiter WJ, Dullaart RPF, Links TP, Kerstens MN, van der Horst-Schrivers ANA. Calculating the optimal surveillance for head and neck paraganglioma in SDHB-mutation carriers. </w:t>
      </w:r>
      <w:r w:rsidRPr="004B6A5D">
        <w:rPr>
          <w:rFonts w:ascii="Calibri" w:hAnsi="Calibri"/>
          <w:i/>
          <w:iCs/>
          <w:noProof/>
          <w:sz w:val="22"/>
        </w:rPr>
        <w:t>Fam Cancer</w:t>
      </w:r>
      <w:r w:rsidRPr="004B6A5D">
        <w:rPr>
          <w:rFonts w:ascii="Calibri" w:hAnsi="Calibri"/>
          <w:noProof/>
          <w:sz w:val="22"/>
        </w:rPr>
        <w:t xml:space="preserve"> Published Online First: 2016. doi:10.1007/s10689-016-9923-3</w:t>
      </w:r>
    </w:p>
    <w:p w14:paraId="5FDD4D24"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25 </w:t>
      </w:r>
      <w:r w:rsidRPr="004B6A5D">
        <w:rPr>
          <w:rFonts w:ascii="Calibri" w:hAnsi="Calibri"/>
          <w:noProof/>
          <w:sz w:val="22"/>
        </w:rPr>
        <w:tab/>
        <w:t xml:space="preserve">Jochmanova I, Wolf KI, King KS, Nambuba J, Wesley R, Martucci V, Raygada M, Adams KT, Prodanov T, Fojo AT, Lazurova I, Pacak K. SDHB-related pheochromocytoma and paraganglioma penetrance and genotype???phenotype correlations. </w:t>
      </w:r>
      <w:r w:rsidRPr="004B6A5D">
        <w:rPr>
          <w:rFonts w:ascii="Calibri" w:hAnsi="Calibri"/>
          <w:i/>
          <w:iCs/>
          <w:noProof/>
          <w:sz w:val="22"/>
        </w:rPr>
        <w:t>J Cancer Res Clin Oncol</w:t>
      </w:r>
      <w:r w:rsidRPr="004B6A5D">
        <w:rPr>
          <w:rFonts w:ascii="Calibri" w:hAnsi="Calibri"/>
          <w:noProof/>
          <w:sz w:val="22"/>
        </w:rPr>
        <w:t xml:space="preserve"> 2017;</w:t>
      </w:r>
      <w:r w:rsidRPr="004B6A5D">
        <w:rPr>
          <w:rFonts w:ascii="Calibri" w:hAnsi="Calibri"/>
          <w:b/>
          <w:bCs/>
          <w:noProof/>
          <w:sz w:val="22"/>
        </w:rPr>
        <w:t>0</w:t>
      </w:r>
      <w:r w:rsidRPr="004B6A5D">
        <w:rPr>
          <w:rFonts w:ascii="Calibri" w:hAnsi="Calibri"/>
          <w:noProof/>
          <w:sz w:val="22"/>
        </w:rPr>
        <w:t>:1–15.</w:t>
      </w:r>
    </w:p>
    <w:p w14:paraId="47E53718" w14:textId="77777777" w:rsidR="004B6A5D" w:rsidRPr="004B6A5D" w:rsidRDefault="004B6A5D" w:rsidP="004B6A5D">
      <w:pPr>
        <w:autoSpaceDE w:val="0"/>
        <w:autoSpaceDN w:val="0"/>
        <w:adjustRightInd w:val="0"/>
        <w:spacing w:before="100" w:after="100"/>
        <w:ind w:left="640" w:hanging="640"/>
        <w:rPr>
          <w:rFonts w:ascii="Calibri" w:hAnsi="Calibri"/>
          <w:noProof/>
          <w:sz w:val="22"/>
        </w:rPr>
      </w:pPr>
      <w:r w:rsidRPr="004B6A5D">
        <w:rPr>
          <w:rFonts w:ascii="Calibri" w:hAnsi="Calibri"/>
          <w:noProof/>
          <w:sz w:val="22"/>
        </w:rPr>
        <w:t xml:space="preserve">26 </w:t>
      </w:r>
      <w:r w:rsidRPr="004B6A5D">
        <w:rPr>
          <w:rFonts w:ascii="Calibri" w:hAnsi="Calibri"/>
          <w:noProof/>
          <w:sz w:val="22"/>
        </w:rPr>
        <w:tab/>
        <w:t xml:space="preserve">Rijken JA, Niemeijer ND, Jonker MA, Eijkelenkamp K, Jansen JC, van Berkel A, M Timmers HJL, Kunst HPM, Bisschop PHLT, Kerstens MN, Dreijerink KMA, van Dooren MF, van der Horst-Schrivers ANA, Hes FJ, René Leemans C, Corssmit EPM, Hensen EF. The Penetrance of Paraganglioma and Pheochromocytoma in </w:t>
      </w:r>
      <w:r w:rsidRPr="004B6A5D">
        <w:rPr>
          <w:rFonts w:ascii="Calibri" w:hAnsi="Calibri"/>
          <w:i/>
          <w:iCs/>
          <w:noProof/>
          <w:sz w:val="22"/>
        </w:rPr>
        <w:t>SDHB</w:t>
      </w:r>
      <w:r w:rsidRPr="004B6A5D">
        <w:rPr>
          <w:rFonts w:ascii="Calibri" w:hAnsi="Calibri"/>
          <w:noProof/>
          <w:sz w:val="22"/>
        </w:rPr>
        <w:t xml:space="preserve"> germline mutation carriers. </w:t>
      </w:r>
      <w:r w:rsidRPr="004B6A5D">
        <w:rPr>
          <w:rFonts w:ascii="Calibri" w:hAnsi="Calibri"/>
          <w:i/>
          <w:iCs/>
          <w:noProof/>
          <w:sz w:val="22"/>
        </w:rPr>
        <w:t>Clin Genet</w:t>
      </w:r>
      <w:r w:rsidRPr="004B6A5D">
        <w:rPr>
          <w:rFonts w:ascii="Calibri" w:hAnsi="Calibri"/>
          <w:noProof/>
          <w:sz w:val="22"/>
        </w:rPr>
        <w:t xml:space="preserve"> Published Online First: 14 May 2017. doi:10.1111/cge.13055</w:t>
      </w:r>
    </w:p>
    <w:p w14:paraId="0CDCBCE7" w14:textId="291B51B4" w:rsidR="00DA40B4" w:rsidRPr="00EE0AC3" w:rsidRDefault="00DA40B4" w:rsidP="004B6A5D">
      <w:pPr>
        <w:autoSpaceDE w:val="0"/>
        <w:autoSpaceDN w:val="0"/>
        <w:adjustRightInd w:val="0"/>
        <w:spacing w:before="100" w:after="100"/>
        <w:ind w:left="640" w:hanging="640"/>
        <w:rPr>
          <w:color w:val="000000"/>
        </w:rPr>
      </w:pPr>
      <w:r w:rsidRPr="00750489">
        <w:rPr>
          <w:rFonts w:ascii="Calibri" w:hAnsi="Calibri"/>
          <w:color w:val="000000"/>
          <w:sz w:val="22"/>
          <w:szCs w:val="22"/>
        </w:rPr>
        <w:fldChar w:fldCharType="end"/>
      </w:r>
    </w:p>
    <w:sectPr w:rsidR="00DA40B4" w:rsidRPr="00EE0AC3" w:rsidSect="005D6D2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E5C30" w14:textId="77777777" w:rsidR="00595E58" w:rsidRDefault="00595E58" w:rsidP="002A340A">
      <w:r>
        <w:separator/>
      </w:r>
    </w:p>
  </w:endnote>
  <w:endnote w:type="continuationSeparator" w:id="0">
    <w:p w14:paraId="4A22417B" w14:textId="77777777" w:rsidR="00595E58" w:rsidRDefault="00595E58" w:rsidP="002A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5E02A" w14:textId="77777777" w:rsidR="00595E58" w:rsidRDefault="00595E58" w:rsidP="002A340A">
      <w:r>
        <w:separator/>
      </w:r>
    </w:p>
  </w:footnote>
  <w:footnote w:type="continuationSeparator" w:id="0">
    <w:p w14:paraId="5AA4F55B" w14:textId="77777777" w:rsidR="00595E58" w:rsidRDefault="00595E58" w:rsidP="002A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5D91" w14:textId="77777777" w:rsidR="00B34B2E" w:rsidRDefault="00B34B2E" w:rsidP="002A34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85B6A" w14:textId="77777777" w:rsidR="00B34B2E" w:rsidRDefault="00B34B2E" w:rsidP="002A34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8D893" w14:textId="29759F39" w:rsidR="00B34B2E" w:rsidRDefault="00B34B2E" w:rsidP="002A34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3E8">
      <w:rPr>
        <w:rStyle w:val="PageNumber"/>
        <w:noProof/>
      </w:rPr>
      <w:t>2</w:t>
    </w:r>
    <w:r>
      <w:rPr>
        <w:rStyle w:val="PageNumber"/>
      </w:rPr>
      <w:fldChar w:fldCharType="end"/>
    </w:r>
  </w:p>
  <w:p w14:paraId="1AF96981" w14:textId="77777777" w:rsidR="00B34B2E" w:rsidRDefault="00B34B2E" w:rsidP="002A340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0E"/>
    <w:rsid w:val="0002402C"/>
    <w:rsid w:val="00060DFA"/>
    <w:rsid w:val="000A6668"/>
    <w:rsid w:val="000B1155"/>
    <w:rsid w:val="000B5AE1"/>
    <w:rsid w:val="000C625B"/>
    <w:rsid w:val="000E678E"/>
    <w:rsid w:val="00163A52"/>
    <w:rsid w:val="0021076B"/>
    <w:rsid w:val="00282737"/>
    <w:rsid w:val="002A33E8"/>
    <w:rsid w:val="002A340A"/>
    <w:rsid w:val="002A6FCF"/>
    <w:rsid w:val="002D5A20"/>
    <w:rsid w:val="00331061"/>
    <w:rsid w:val="0035114C"/>
    <w:rsid w:val="003B6F46"/>
    <w:rsid w:val="0043515A"/>
    <w:rsid w:val="00490651"/>
    <w:rsid w:val="004B393C"/>
    <w:rsid w:val="004B643E"/>
    <w:rsid w:val="004B6A5D"/>
    <w:rsid w:val="004C15BB"/>
    <w:rsid w:val="00532A25"/>
    <w:rsid w:val="00595E58"/>
    <w:rsid w:val="005D6D2F"/>
    <w:rsid w:val="005F6D19"/>
    <w:rsid w:val="006148EF"/>
    <w:rsid w:val="00653709"/>
    <w:rsid w:val="006700BC"/>
    <w:rsid w:val="00691D70"/>
    <w:rsid w:val="0070162E"/>
    <w:rsid w:val="00734802"/>
    <w:rsid w:val="0074305E"/>
    <w:rsid w:val="00750489"/>
    <w:rsid w:val="00774CB8"/>
    <w:rsid w:val="007D3327"/>
    <w:rsid w:val="007D48E6"/>
    <w:rsid w:val="007E7D5B"/>
    <w:rsid w:val="009032FB"/>
    <w:rsid w:val="00906E0E"/>
    <w:rsid w:val="00945DCA"/>
    <w:rsid w:val="00991F03"/>
    <w:rsid w:val="009C3A17"/>
    <w:rsid w:val="009D4E95"/>
    <w:rsid w:val="00A24E7A"/>
    <w:rsid w:val="00A40DB8"/>
    <w:rsid w:val="00B1686B"/>
    <w:rsid w:val="00B34B2E"/>
    <w:rsid w:val="00B35272"/>
    <w:rsid w:val="00BA6D45"/>
    <w:rsid w:val="00BC671C"/>
    <w:rsid w:val="00BF03DF"/>
    <w:rsid w:val="00C114D8"/>
    <w:rsid w:val="00C3673E"/>
    <w:rsid w:val="00CE0D2E"/>
    <w:rsid w:val="00D37020"/>
    <w:rsid w:val="00DA40B4"/>
    <w:rsid w:val="00DB5BFA"/>
    <w:rsid w:val="00E17785"/>
    <w:rsid w:val="00E83E07"/>
    <w:rsid w:val="00EB7F0C"/>
    <w:rsid w:val="00EE0AC3"/>
    <w:rsid w:val="00F16A4B"/>
    <w:rsid w:val="00F22745"/>
    <w:rsid w:val="00F773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D9B333E"/>
  <w14:defaultImageDpi w14:val="300"/>
  <w15:docId w15:val="{D5E0B3BC-66C3-4D82-99EE-CB06E99C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Heading1">
    <w:name w:val="heading 1"/>
    <w:basedOn w:val="Normal"/>
    <w:next w:val="Normal"/>
    <w:link w:val="Heading1Char"/>
    <w:uiPriority w:val="9"/>
    <w:qFormat/>
    <w:rsid w:val="002A340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63A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PreformattedText">
    <w:name w:val="Preformatted Text"/>
    <w:basedOn w:val="Normal"/>
  </w:style>
  <w:style w:type="paragraph" w:customStyle="1" w:styleId="TableContents">
    <w:name w:val="Table Contents"/>
    <w:basedOn w:val="Normal"/>
    <w:pPr>
      <w:suppressLineNumbers/>
    </w:pPr>
    <w:rPr>
      <w:kern w:val="1"/>
    </w:rPr>
  </w:style>
  <w:style w:type="character" w:styleId="CommentReference">
    <w:name w:val="annotation reference"/>
    <w:rsid w:val="00DA40B4"/>
    <w:rPr>
      <w:sz w:val="16"/>
      <w:szCs w:val="16"/>
    </w:rPr>
  </w:style>
  <w:style w:type="paragraph" w:styleId="NormalWeb">
    <w:name w:val="Normal (Web)"/>
    <w:basedOn w:val="Normal"/>
    <w:uiPriority w:val="99"/>
    <w:unhideWhenUsed/>
    <w:rsid w:val="00DA40B4"/>
    <w:pPr>
      <w:widowControl/>
      <w:suppressAutoHyphens w:val="0"/>
      <w:spacing w:before="100" w:beforeAutospacing="1" w:after="100" w:afterAutospacing="1"/>
    </w:pPr>
    <w:rPr>
      <w:rFonts w:ascii="Times" w:eastAsia="MS Mincho" w:hAnsi="Times"/>
    </w:rPr>
  </w:style>
  <w:style w:type="paragraph" w:styleId="Header">
    <w:name w:val="header"/>
    <w:basedOn w:val="Normal"/>
    <w:link w:val="HeaderChar"/>
    <w:uiPriority w:val="99"/>
    <w:unhideWhenUsed/>
    <w:rsid w:val="002A340A"/>
    <w:pPr>
      <w:tabs>
        <w:tab w:val="center" w:pos="4320"/>
        <w:tab w:val="right" w:pos="8640"/>
      </w:tabs>
    </w:pPr>
  </w:style>
  <w:style w:type="character" w:customStyle="1" w:styleId="HeaderChar">
    <w:name w:val="Header Char"/>
    <w:basedOn w:val="DefaultParagraphFont"/>
    <w:link w:val="Header"/>
    <w:uiPriority w:val="99"/>
    <w:rsid w:val="002A340A"/>
  </w:style>
  <w:style w:type="character" w:styleId="PageNumber">
    <w:name w:val="page number"/>
    <w:basedOn w:val="DefaultParagraphFont"/>
    <w:uiPriority w:val="99"/>
    <w:semiHidden/>
    <w:unhideWhenUsed/>
    <w:rsid w:val="002A340A"/>
  </w:style>
  <w:style w:type="paragraph" w:styleId="Footer">
    <w:name w:val="footer"/>
    <w:basedOn w:val="Normal"/>
    <w:link w:val="FooterChar"/>
    <w:uiPriority w:val="99"/>
    <w:unhideWhenUsed/>
    <w:rsid w:val="002A340A"/>
    <w:pPr>
      <w:tabs>
        <w:tab w:val="center" w:pos="4320"/>
        <w:tab w:val="right" w:pos="8640"/>
      </w:tabs>
    </w:pPr>
  </w:style>
  <w:style w:type="character" w:customStyle="1" w:styleId="FooterChar">
    <w:name w:val="Footer Char"/>
    <w:basedOn w:val="DefaultParagraphFont"/>
    <w:link w:val="Footer"/>
    <w:uiPriority w:val="99"/>
    <w:rsid w:val="002A340A"/>
  </w:style>
  <w:style w:type="character" w:customStyle="1" w:styleId="Heading1Char">
    <w:name w:val="Heading 1 Char"/>
    <w:basedOn w:val="DefaultParagraphFont"/>
    <w:link w:val="Heading1"/>
    <w:uiPriority w:val="9"/>
    <w:rsid w:val="002A340A"/>
    <w:rPr>
      <w:rFonts w:asciiTheme="majorHAnsi" w:eastAsiaTheme="majorEastAsia" w:hAnsiTheme="majorHAnsi" w:cstheme="majorBidi"/>
      <w:b/>
      <w:bCs/>
      <w:kern w:val="32"/>
      <w:sz w:val="32"/>
      <w:szCs w:val="32"/>
    </w:rPr>
  </w:style>
  <w:style w:type="paragraph" w:styleId="Subtitle">
    <w:name w:val="Subtitle"/>
    <w:basedOn w:val="Normal"/>
    <w:next w:val="Normal"/>
    <w:link w:val="SubtitleChar"/>
    <w:uiPriority w:val="11"/>
    <w:qFormat/>
    <w:rsid w:val="002A340A"/>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340A"/>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BA6D45"/>
    <w:pPr>
      <w:keepLines/>
      <w:widowControl/>
      <w:suppressAutoHyphens w:val="0"/>
      <w:spacing w:before="480" w:after="0" w:line="276" w:lineRule="auto"/>
      <w:outlineLvl w:val="9"/>
    </w:pPr>
    <w:rPr>
      <w:color w:val="365F91" w:themeColor="accent1" w:themeShade="BF"/>
      <w:kern w:val="0"/>
      <w:sz w:val="28"/>
      <w:szCs w:val="28"/>
      <w:lang w:val="en-US"/>
    </w:rPr>
  </w:style>
  <w:style w:type="paragraph" w:styleId="TOC2">
    <w:name w:val="toc 2"/>
    <w:basedOn w:val="Normal"/>
    <w:next w:val="Normal"/>
    <w:autoRedefine/>
    <w:uiPriority w:val="39"/>
    <w:unhideWhenUsed/>
    <w:rsid w:val="00163A52"/>
    <w:pPr>
      <w:ind w:left="200"/>
    </w:pPr>
    <w:rPr>
      <w:rFonts w:asciiTheme="minorHAnsi" w:hAnsiTheme="minorHAnsi"/>
      <w:smallCaps/>
      <w:sz w:val="22"/>
      <w:szCs w:val="22"/>
    </w:rPr>
  </w:style>
  <w:style w:type="paragraph" w:styleId="TOC1">
    <w:name w:val="toc 1"/>
    <w:basedOn w:val="Normal"/>
    <w:next w:val="Normal"/>
    <w:autoRedefine/>
    <w:uiPriority w:val="39"/>
    <w:unhideWhenUsed/>
    <w:rsid w:val="00BA6D45"/>
    <w:pPr>
      <w:spacing w:before="120"/>
    </w:pPr>
    <w:rPr>
      <w:rFonts w:asciiTheme="minorHAnsi" w:hAnsiTheme="minorHAnsi"/>
      <w:b/>
      <w:caps/>
      <w:sz w:val="22"/>
      <w:szCs w:val="22"/>
    </w:rPr>
  </w:style>
  <w:style w:type="paragraph" w:styleId="TOC3">
    <w:name w:val="toc 3"/>
    <w:basedOn w:val="Normal"/>
    <w:next w:val="Normal"/>
    <w:autoRedefine/>
    <w:uiPriority w:val="39"/>
    <w:unhideWhenUsed/>
    <w:rsid w:val="00BA6D45"/>
    <w:pPr>
      <w:ind w:left="400"/>
    </w:pPr>
    <w:rPr>
      <w:rFonts w:asciiTheme="minorHAnsi" w:hAnsiTheme="minorHAnsi"/>
      <w:i/>
      <w:sz w:val="22"/>
      <w:szCs w:val="22"/>
    </w:rPr>
  </w:style>
  <w:style w:type="paragraph" w:styleId="BalloonText">
    <w:name w:val="Balloon Text"/>
    <w:basedOn w:val="Normal"/>
    <w:link w:val="BalloonTextChar"/>
    <w:uiPriority w:val="99"/>
    <w:semiHidden/>
    <w:unhideWhenUsed/>
    <w:rsid w:val="00BA6D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D45"/>
    <w:rPr>
      <w:rFonts w:ascii="Lucida Grande" w:hAnsi="Lucida Grande" w:cs="Lucida Grande"/>
      <w:sz w:val="18"/>
      <w:szCs w:val="18"/>
    </w:rPr>
  </w:style>
  <w:style w:type="paragraph" w:styleId="TOC4">
    <w:name w:val="toc 4"/>
    <w:basedOn w:val="Normal"/>
    <w:next w:val="Normal"/>
    <w:autoRedefine/>
    <w:uiPriority w:val="39"/>
    <w:unhideWhenUsed/>
    <w:rsid w:val="00BA6D45"/>
    <w:pPr>
      <w:ind w:left="600"/>
    </w:pPr>
    <w:rPr>
      <w:rFonts w:asciiTheme="minorHAnsi" w:hAnsiTheme="minorHAnsi"/>
      <w:sz w:val="18"/>
      <w:szCs w:val="18"/>
    </w:rPr>
  </w:style>
  <w:style w:type="paragraph" w:styleId="TOC5">
    <w:name w:val="toc 5"/>
    <w:basedOn w:val="Normal"/>
    <w:next w:val="Normal"/>
    <w:autoRedefine/>
    <w:uiPriority w:val="39"/>
    <w:unhideWhenUsed/>
    <w:rsid w:val="00BA6D45"/>
    <w:pPr>
      <w:ind w:left="800"/>
    </w:pPr>
    <w:rPr>
      <w:rFonts w:asciiTheme="minorHAnsi" w:hAnsiTheme="minorHAnsi"/>
      <w:sz w:val="18"/>
      <w:szCs w:val="18"/>
    </w:rPr>
  </w:style>
  <w:style w:type="paragraph" w:styleId="TOC6">
    <w:name w:val="toc 6"/>
    <w:basedOn w:val="Normal"/>
    <w:next w:val="Normal"/>
    <w:autoRedefine/>
    <w:uiPriority w:val="39"/>
    <w:unhideWhenUsed/>
    <w:rsid w:val="00BA6D45"/>
    <w:pPr>
      <w:ind w:left="1000"/>
    </w:pPr>
    <w:rPr>
      <w:rFonts w:asciiTheme="minorHAnsi" w:hAnsiTheme="minorHAnsi"/>
      <w:sz w:val="18"/>
      <w:szCs w:val="18"/>
    </w:rPr>
  </w:style>
  <w:style w:type="paragraph" w:styleId="TOC7">
    <w:name w:val="toc 7"/>
    <w:basedOn w:val="Normal"/>
    <w:next w:val="Normal"/>
    <w:autoRedefine/>
    <w:uiPriority w:val="39"/>
    <w:unhideWhenUsed/>
    <w:rsid w:val="00BA6D45"/>
    <w:pPr>
      <w:ind w:left="1200"/>
    </w:pPr>
    <w:rPr>
      <w:rFonts w:asciiTheme="minorHAnsi" w:hAnsiTheme="minorHAnsi"/>
      <w:sz w:val="18"/>
      <w:szCs w:val="18"/>
    </w:rPr>
  </w:style>
  <w:style w:type="paragraph" w:styleId="TOC8">
    <w:name w:val="toc 8"/>
    <w:basedOn w:val="Normal"/>
    <w:next w:val="Normal"/>
    <w:autoRedefine/>
    <w:uiPriority w:val="39"/>
    <w:unhideWhenUsed/>
    <w:rsid w:val="00BA6D45"/>
    <w:pPr>
      <w:ind w:left="1400"/>
    </w:pPr>
    <w:rPr>
      <w:rFonts w:asciiTheme="minorHAnsi" w:hAnsiTheme="minorHAnsi"/>
      <w:sz w:val="18"/>
      <w:szCs w:val="18"/>
    </w:rPr>
  </w:style>
  <w:style w:type="paragraph" w:styleId="TOC9">
    <w:name w:val="toc 9"/>
    <w:basedOn w:val="Normal"/>
    <w:next w:val="Normal"/>
    <w:autoRedefine/>
    <w:uiPriority w:val="39"/>
    <w:unhideWhenUsed/>
    <w:rsid w:val="00BA6D45"/>
    <w:pPr>
      <w:ind w:left="1600"/>
    </w:pPr>
    <w:rPr>
      <w:rFonts w:asciiTheme="minorHAnsi" w:hAnsiTheme="minorHAnsi"/>
      <w:sz w:val="18"/>
      <w:szCs w:val="18"/>
    </w:rPr>
  </w:style>
  <w:style w:type="paragraph" w:styleId="CommentText">
    <w:name w:val="annotation text"/>
    <w:basedOn w:val="Normal"/>
    <w:link w:val="CommentTextChar"/>
    <w:uiPriority w:val="99"/>
    <w:semiHidden/>
    <w:unhideWhenUsed/>
    <w:rsid w:val="00774CB8"/>
  </w:style>
  <w:style w:type="character" w:customStyle="1" w:styleId="CommentTextChar">
    <w:name w:val="Comment Text Char"/>
    <w:basedOn w:val="DefaultParagraphFont"/>
    <w:link w:val="CommentText"/>
    <w:uiPriority w:val="99"/>
    <w:semiHidden/>
    <w:rsid w:val="00774CB8"/>
  </w:style>
  <w:style w:type="paragraph" w:styleId="CommentSubject">
    <w:name w:val="annotation subject"/>
    <w:basedOn w:val="CommentText"/>
    <w:next w:val="CommentText"/>
    <w:link w:val="CommentSubjectChar"/>
    <w:uiPriority w:val="99"/>
    <w:semiHidden/>
    <w:unhideWhenUsed/>
    <w:rsid w:val="00774CB8"/>
    <w:rPr>
      <w:b/>
      <w:bCs/>
    </w:rPr>
  </w:style>
  <w:style w:type="character" w:customStyle="1" w:styleId="CommentSubjectChar">
    <w:name w:val="Comment Subject Char"/>
    <w:basedOn w:val="CommentTextChar"/>
    <w:link w:val="CommentSubject"/>
    <w:uiPriority w:val="99"/>
    <w:semiHidden/>
    <w:rsid w:val="00774CB8"/>
    <w:rPr>
      <w:b/>
      <w:bCs/>
    </w:rPr>
  </w:style>
  <w:style w:type="paragraph" w:styleId="Revision">
    <w:name w:val="Revision"/>
    <w:hidden/>
    <w:uiPriority w:val="99"/>
    <w:semiHidden/>
    <w:rsid w:val="00D37020"/>
  </w:style>
  <w:style w:type="table" w:styleId="TableGrid">
    <w:name w:val="Table Grid"/>
    <w:basedOn w:val="TableNormal"/>
    <w:uiPriority w:val="59"/>
    <w:rsid w:val="00991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91F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163A52"/>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75048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91">
      <w:bodyDiv w:val="1"/>
      <w:marLeft w:val="0"/>
      <w:marRight w:val="0"/>
      <w:marTop w:val="0"/>
      <w:marBottom w:val="0"/>
      <w:divBdr>
        <w:top w:val="none" w:sz="0" w:space="0" w:color="auto"/>
        <w:left w:val="none" w:sz="0" w:space="0" w:color="auto"/>
        <w:bottom w:val="none" w:sz="0" w:space="0" w:color="auto"/>
        <w:right w:val="none" w:sz="0" w:space="0" w:color="auto"/>
      </w:divBdr>
    </w:div>
    <w:div w:id="29110695">
      <w:bodyDiv w:val="1"/>
      <w:marLeft w:val="0"/>
      <w:marRight w:val="0"/>
      <w:marTop w:val="0"/>
      <w:marBottom w:val="0"/>
      <w:divBdr>
        <w:top w:val="none" w:sz="0" w:space="0" w:color="auto"/>
        <w:left w:val="none" w:sz="0" w:space="0" w:color="auto"/>
        <w:bottom w:val="none" w:sz="0" w:space="0" w:color="auto"/>
        <w:right w:val="none" w:sz="0" w:space="0" w:color="auto"/>
      </w:divBdr>
      <w:divsChild>
        <w:div w:id="147134393">
          <w:marLeft w:val="0"/>
          <w:marRight w:val="0"/>
          <w:marTop w:val="0"/>
          <w:marBottom w:val="0"/>
          <w:divBdr>
            <w:top w:val="none" w:sz="0" w:space="0" w:color="auto"/>
            <w:left w:val="none" w:sz="0" w:space="0" w:color="auto"/>
            <w:bottom w:val="none" w:sz="0" w:space="0" w:color="auto"/>
            <w:right w:val="none" w:sz="0" w:space="0" w:color="auto"/>
          </w:divBdr>
          <w:divsChild>
            <w:div w:id="229777837">
              <w:marLeft w:val="0"/>
              <w:marRight w:val="0"/>
              <w:marTop w:val="0"/>
              <w:marBottom w:val="0"/>
              <w:divBdr>
                <w:top w:val="none" w:sz="0" w:space="0" w:color="auto"/>
                <w:left w:val="none" w:sz="0" w:space="0" w:color="auto"/>
                <w:bottom w:val="none" w:sz="0" w:space="0" w:color="auto"/>
                <w:right w:val="none" w:sz="0" w:space="0" w:color="auto"/>
              </w:divBdr>
              <w:divsChild>
                <w:div w:id="641229163">
                  <w:marLeft w:val="0"/>
                  <w:marRight w:val="0"/>
                  <w:marTop w:val="0"/>
                  <w:marBottom w:val="0"/>
                  <w:divBdr>
                    <w:top w:val="none" w:sz="0" w:space="0" w:color="auto"/>
                    <w:left w:val="none" w:sz="0" w:space="0" w:color="auto"/>
                    <w:bottom w:val="none" w:sz="0" w:space="0" w:color="auto"/>
                    <w:right w:val="none" w:sz="0" w:space="0" w:color="auto"/>
                  </w:divBdr>
                  <w:divsChild>
                    <w:div w:id="1051342675">
                      <w:marLeft w:val="0"/>
                      <w:marRight w:val="0"/>
                      <w:marTop w:val="0"/>
                      <w:marBottom w:val="0"/>
                      <w:divBdr>
                        <w:top w:val="none" w:sz="0" w:space="0" w:color="auto"/>
                        <w:left w:val="none" w:sz="0" w:space="0" w:color="auto"/>
                        <w:bottom w:val="none" w:sz="0" w:space="0" w:color="auto"/>
                        <w:right w:val="none" w:sz="0" w:space="0" w:color="auto"/>
                      </w:divBdr>
                      <w:divsChild>
                        <w:div w:id="2128620501">
                          <w:marLeft w:val="0"/>
                          <w:marRight w:val="0"/>
                          <w:marTop w:val="0"/>
                          <w:marBottom w:val="0"/>
                          <w:divBdr>
                            <w:top w:val="none" w:sz="0" w:space="0" w:color="auto"/>
                            <w:left w:val="none" w:sz="0" w:space="0" w:color="auto"/>
                            <w:bottom w:val="none" w:sz="0" w:space="0" w:color="auto"/>
                            <w:right w:val="none" w:sz="0" w:space="0" w:color="auto"/>
                          </w:divBdr>
                          <w:divsChild>
                            <w:div w:id="1058355775">
                              <w:marLeft w:val="0"/>
                              <w:marRight w:val="0"/>
                              <w:marTop w:val="0"/>
                              <w:marBottom w:val="0"/>
                              <w:divBdr>
                                <w:top w:val="none" w:sz="0" w:space="0" w:color="auto"/>
                                <w:left w:val="none" w:sz="0" w:space="0" w:color="auto"/>
                                <w:bottom w:val="none" w:sz="0" w:space="0" w:color="auto"/>
                                <w:right w:val="none" w:sz="0" w:space="0" w:color="auto"/>
                              </w:divBdr>
                              <w:divsChild>
                                <w:div w:id="698821830">
                                  <w:marLeft w:val="0"/>
                                  <w:marRight w:val="0"/>
                                  <w:marTop w:val="0"/>
                                  <w:marBottom w:val="0"/>
                                  <w:divBdr>
                                    <w:top w:val="none" w:sz="0" w:space="0" w:color="auto"/>
                                    <w:left w:val="none" w:sz="0" w:space="0" w:color="auto"/>
                                    <w:bottom w:val="none" w:sz="0" w:space="0" w:color="auto"/>
                                    <w:right w:val="none" w:sz="0" w:space="0" w:color="auto"/>
                                  </w:divBdr>
                                  <w:divsChild>
                                    <w:div w:id="5029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409622">
      <w:bodyDiv w:val="1"/>
      <w:marLeft w:val="0"/>
      <w:marRight w:val="0"/>
      <w:marTop w:val="0"/>
      <w:marBottom w:val="0"/>
      <w:divBdr>
        <w:top w:val="none" w:sz="0" w:space="0" w:color="auto"/>
        <w:left w:val="none" w:sz="0" w:space="0" w:color="auto"/>
        <w:bottom w:val="none" w:sz="0" w:space="0" w:color="auto"/>
        <w:right w:val="none" w:sz="0" w:space="0" w:color="auto"/>
      </w:divBdr>
    </w:div>
    <w:div w:id="1515798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5BF4-4135-446D-804F-7DC37585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19299</Words>
  <Characters>110005</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Andrews</dc:creator>
  <cp:keywords/>
  <dc:description/>
  <cp:lastModifiedBy>Eamonn R Maher</cp:lastModifiedBy>
  <cp:revision>3</cp:revision>
  <cp:lastPrinted>2017-09-23T07:08:00Z</cp:lastPrinted>
  <dcterms:created xsi:type="dcterms:W3CDTF">2018-01-03T21:01:00Z</dcterms:created>
  <dcterms:modified xsi:type="dcterms:W3CDTF">2018-01-04T11:32:00Z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http://www.zotero.org/styles/journal-of-medical-genetics</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http://www.zotero.org/styles/journal-of-medical-genetics</vt:lpwstr>
  </property>
  <property fmtid="{D5CDD505-2E9C-101B-9397-08002B2CF9AE}" pid="15" name="Mendeley Recent Style Name 5_1">
    <vt:lpwstr>Journal of Medical Genetics</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d423a9f9-91d5-3887-8040-e654738bc567</vt:lpwstr>
  </property>
</Properties>
</file>